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12801">
      <w:pPr>
        <w:spacing w:beforeLines="200" w:line="1400" w:lineRule="exact"/>
        <w:ind w:firstLine="105" w:firstLineChars="50"/>
        <w:rPr>
          <w:rFonts w:ascii="Times New Roman" w:hAnsi="Times New Roman" w:eastAsia="华文中宋" w:cs="Times New Roman"/>
          <w:b/>
          <w:color w:val="FF0000"/>
          <w:spacing w:val="20"/>
          <w:w w:val="38"/>
          <w:sz w:val="136"/>
          <w:szCs w:val="136"/>
        </w:rPr>
      </w:pPr>
      <w:r>
        <w:rPr>
          <w:rFonts w:ascii="Times New Roman" w:hAnsi="Times New Roman" w:cs="Times New Roman"/>
        </w:rPr>
        <w:pict>
          <v:shape id="_x0000_s1026" o:spid="_x0000_s1026" o:spt="202" type="#_x0000_t202" style="position:absolute;left:0pt;margin-left:322.5pt;margin-top:57.05pt;height:98.55pt;width:149pt;mso-wrap-distance-bottom:0pt;mso-wrap-distance-left:9pt;mso-wrap-distance-right:9pt;mso-wrap-distance-top:0pt;z-index:251659264;mso-width-relative:page;mso-height-relative:page;" filled="f" stroked="f" coordsize="21600,21600">
            <v:path/>
            <v:fill on="f" focussize="0,0"/>
            <v:stroke on="f" joinstyle="miter"/>
            <v:imagedata o:title=""/>
            <o:lock v:ext="edit"/>
            <v:textbox inset="0mm,0mm,0mm,0mm">
              <w:txbxContent>
                <w:p w14:paraId="70F8D05A">
                  <w:pPr>
                    <w:spacing w:line="1400" w:lineRule="exact"/>
                    <w:rPr>
                      <w:rFonts w:ascii="华文中宋" w:eastAsia="华文中宋"/>
                      <w:b/>
                      <w:color w:val="FF0000"/>
                      <w:w w:val="90"/>
                      <w:kern w:val="0"/>
                      <w:sz w:val="128"/>
                      <w:szCs w:val="136"/>
                    </w:rPr>
                  </w:pPr>
                  <w:r>
                    <w:rPr>
                      <w:rFonts w:hint="eastAsia" w:ascii="华文中宋" w:eastAsia="华文中宋"/>
                      <w:b/>
                      <w:color w:val="FF0000"/>
                      <w:w w:val="90"/>
                      <w:kern w:val="0"/>
                      <w:sz w:val="128"/>
                      <w:szCs w:val="136"/>
                    </w:rPr>
                    <w:t>文件</w:t>
                  </w:r>
                </w:p>
              </w:txbxContent>
            </v:textbox>
            <w10:wrap type="square"/>
          </v:shape>
        </w:pict>
      </w:r>
      <w:r>
        <w:rPr>
          <w:rFonts w:ascii="Times New Roman" w:hAnsi="Times New Roman" w:eastAsia="黑体" w:cs="Times New Roman"/>
          <w:sz w:val="32"/>
        </w:rPr>
        <w:pict>
          <v:shape id="_x0000_s1027" o:spid="_x0000_s1027" o:spt="202" type="#_x0000_t202" style="position:absolute;left:0pt;margin-left:354.75pt;margin-top:-65.2pt;height:32.6pt;width:64.5pt;z-index:251660288;mso-width-relative:page;mso-height-relative:page;" filled="f" stroked="f" coordsize="21600,21600">
            <v:path/>
            <v:fill on="f" focussize="0,0"/>
            <v:stroke on="f" joinstyle="miter"/>
            <v:imagedata o:title=""/>
            <o:lock v:ext="edit"/>
            <v:textbox>
              <w:txbxContent>
                <w:p w14:paraId="2B97786E">
                  <w:pPr>
                    <w:rPr>
                      <w:szCs w:val="32"/>
                    </w:rPr>
                  </w:pPr>
                </w:p>
              </w:txbxContent>
            </v:textbox>
          </v:shape>
        </w:pict>
      </w:r>
      <w:r>
        <w:rPr>
          <w:rFonts w:ascii="Times New Roman" w:hAnsi="Times New Roman" w:eastAsia="华文中宋" w:cs="Times New Roman"/>
          <w:b/>
          <w:color w:val="FF0000"/>
          <w:w w:val="38"/>
          <w:kern w:val="0"/>
          <w:sz w:val="136"/>
          <w:szCs w:val="136"/>
        </w:rPr>
        <w:t>南京市发展和改革委员会</w:t>
      </w:r>
    </w:p>
    <w:p w14:paraId="47645B94">
      <w:pPr>
        <w:spacing w:line="1400" w:lineRule="exact"/>
        <w:ind w:firstLine="52" w:firstLineChars="10"/>
        <w:rPr>
          <w:rFonts w:ascii="Times New Roman" w:hAnsi="Times New Roman" w:eastAsia="华文中宋" w:cs="Times New Roman"/>
          <w:b/>
          <w:color w:val="FF0000"/>
          <w:w w:val="38"/>
          <w:sz w:val="84"/>
        </w:rPr>
      </w:pPr>
      <w:r>
        <w:rPr>
          <w:rFonts w:ascii="Times New Roman" w:hAnsi="Times New Roman" w:eastAsia="华文中宋" w:cs="Times New Roman"/>
          <w:b/>
          <w:color w:val="FF0000"/>
          <w:spacing w:val="0"/>
          <w:w w:val="38"/>
          <w:kern w:val="0"/>
          <w:sz w:val="136"/>
          <w:szCs w:val="60"/>
          <w:fitText w:val="5698" w:id="84828500"/>
        </w:rPr>
        <w:t>南京市住房保障和房产局</w:t>
      </w:r>
    </w:p>
    <w:p w14:paraId="39AF30F0">
      <w:pPr>
        <w:ind w:right="-420" w:rightChars="-200" w:firstLine="160" w:firstLineChars="50"/>
        <w:rPr>
          <w:rFonts w:ascii="Times New Roman" w:hAnsi="Times New Roman" w:eastAsia="方正仿宋_GBK" w:cs="Times New Roman"/>
          <w:sz w:val="32"/>
          <w:szCs w:val="32"/>
        </w:rPr>
      </w:pPr>
    </w:p>
    <w:p w14:paraId="2086EAAD">
      <w:pPr>
        <w:ind w:right="-420" w:rightChars="-200" w:firstLine="160" w:firstLineChars="5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宁发改价费字〔202</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220</w:t>
      </w:r>
      <w:r>
        <w:rPr>
          <w:rFonts w:ascii="Times New Roman" w:hAnsi="Times New Roman" w:eastAsia="方正仿宋_GBK" w:cs="Times New Roman"/>
          <w:sz w:val="32"/>
          <w:szCs w:val="32"/>
        </w:rPr>
        <w:t>号</w:t>
      </w:r>
    </w:p>
    <w:p w14:paraId="01B1A210">
      <w:pPr>
        <w:rPr>
          <w:rFonts w:ascii="Times New Roman" w:hAnsi="Times New Roman" w:cs="Times New Roman"/>
        </w:rPr>
      </w:pPr>
    </w:p>
    <w:p w14:paraId="0C8ECCE4">
      <w:pPr>
        <w:rPr>
          <w:rFonts w:ascii="Times New Roman" w:hAnsi="Times New Roman" w:cs="Times New Roman"/>
        </w:rPr>
      </w:pPr>
      <w:r>
        <w:rPr>
          <w:rFonts w:ascii="Times New Roman" w:hAnsi="Times New Roman" w:cs="Times New Roman"/>
          <w:b/>
          <w:color w:val="FF0000"/>
          <w:sz w:val="48"/>
          <w:szCs w:val="48"/>
          <w:u w:val="single"/>
        </w:rPr>
        <w:pict>
          <v:line id="_x0000_s1028" o:spid="_x0000_s1028" o:spt="20" style="position:absolute;left:0pt;margin-left:0pt;margin-top:2.3pt;height:0pt;width:451.5pt;z-index:251661312;mso-width-relative:page;mso-height-relative:page;" stroked="t" coordsize="21600,21600">
            <v:path arrowok="t"/>
            <v:fill focussize="0,0"/>
            <v:stroke weight="1.5pt" color="#FF0000"/>
            <v:imagedata o:title=""/>
            <o:lock v:ext="edit"/>
          </v:line>
        </w:pict>
      </w:r>
    </w:p>
    <w:p w14:paraId="559BB7BF">
      <w:pPr>
        <w:spacing w:line="420" w:lineRule="exact"/>
        <w:jc w:val="center"/>
        <w:rPr>
          <w:rFonts w:ascii="Times New Roman" w:hAnsi="Times New Roman" w:eastAsia="方正小标宋_GBK" w:cs="Times New Roman"/>
          <w:sz w:val="44"/>
          <w:szCs w:val="44"/>
        </w:rPr>
      </w:pPr>
    </w:p>
    <w:p w14:paraId="007B246C">
      <w:pPr>
        <w:numPr>
          <w:ilvl w:val="255"/>
          <w:numId w:val="0"/>
        </w:numPr>
        <w:spacing w:line="7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市发改委</w:t>
      </w:r>
      <w:r>
        <w:rPr>
          <w:rFonts w:hint="eastAsia" w:ascii="Times New Roman" w:hAnsi="Times New Roman" w:eastAsia="方正小标宋_GBK" w:cs="Times New Roman"/>
          <w:sz w:val="44"/>
          <w:szCs w:val="44"/>
        </w:rPr>
        <w:t xml:space="preserve"> </w:t>
      </w:r>
      <w:r>
        <w:rPr>
          <w:rFonts w:ascii="Times New Roman" w:hAnsi="Times New Roman" w:eastAsia="方正小标宋_GBK" w:cs="Times New Roman"/>
          <w:sz w:val="44"/>
          <w:szCs w:val="44"/>
        </w:rPr>
        <w:t>市房产局关于贯彻</w:t>
      </w:r>
    </w:p>
    <w:p w14:paraId="7C6322F9">
      <w:pPr>
        <w:numPr>
          <w:ilvl w:val="255"/>
          <w:numId w:val="0"/>
        </w:numPr>
        <w:spacing w:line="7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《江苏省物业服务收费管理办法》的实施意见</w:t>
      </w:r>
    </w:p>
    <w:p w14:paraId="308F555C">
      <w:pPr>
        <w:spacing w:line="590" w:lineRule="exact"/>
        <w:rPr>
          <w:rFonts w:ascii="Times New Roman" w:hAnsi="Times New Roman" w:eastAsia="仿宋_GB2312" w:cs="Times New Roman"/>
          <w:spacing w:val="10"/>
          <w:sz w:val="34"/>
          <w:szCs w:val="34"/>
        </w:rPr>
      </w:pPr>
    </w:p>
    <w:p w14:paraId="68CAB362">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江北新区市场监督管理局、建设与交通局，各区发改委、房产（住建）局，各有关单位：</w:t>
      </w:r>
    </w:p>
    <w:p w14:paraId="5730950A">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为促进我市物业服务行业健康发展，规范物业服务收费行为，维护业主和物业服务企业的合法权益，现将《省发展改革委 省住房城乡建设厅关于印发</w:t>
      </w:r>
      <w:r>
        <w:rPr>
          <w:rFonts w:hint="eastAsia" w:ascii="方正仿宋_GBK" w:hAnsi="Times New Roman" w:eastAsia="方正仿宋_GBK" w:cs="Times New Roman"/>
          <w:sz w:val="32"/>
          <w:szCs w:val="32"/>
        </w:rPr>
        <w:t>〈</w:t>
      </w:r>
      <w:r>
        <w:rPr>
          <w:rFonts w:ascii="Times New Roman" w:hAnsi="Times New Roman" w:eastAsia="方正仿宋_GBK" w:cs="Times New Roman"/>
          <w:sz w:val="32"/>
          <w:szCs w:val="32"/>
        </w:rPr>
        <w:t>江苏省物业服务收费管理办法</w:t>
      </w:r>
      <w:r>
        <w:rPr>
          <w:rFonts w:hint="eastAsia" w:ascii="方正仿宋_GBK" w:hAnsi="Times New Roman" w:eastAsia="方正仿宋_GBK" w:cs="Times New Roman"/>
          <w:sz w:val="32"/>
          <w:szCs w:val="32"/>
        </w:rPr>
        <w:t>〉</w:t>
      </w:r>
      <w:r>
        <w:rPr>
          <w:rFonts w:ascii="Times New Roman" w:hAnsi="Times New Roman" w:eastAsia="方正仿宋_GBK" w:cs="Times New Roman"/>
          <w:sz w:val="32"/>
          <w:szCs w:val="32"/>
        </w:rPr>
        <w:t>的通知》（苏发改规发〔2018〕3号）转发给你们，提出如下贯彻意见，请一并遵照执行。</w:t>
      </w:r>
    </w:p>
    <w:p w14:paraId="34500F5C">
      <w:pPr>
        <w:spacing w:line="60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一、物业服务收费包括物业公共服务费、汽车停放费和其他服务费，实行政府指导价和市场调节价。业主大会成立前的普通住宅物业公共服务收费和汽车停放费实行政府指导价；</w:t>
      </w:r>
      <w:r>
        <w:rPr>
          <w:rFonts w:ascii="Times New Roman" w:hAnsi="Times New Roman" w:eastAsia="方正仿宋_GBK" w:cs="Times New Roman"/>
          <w:kern w:val="0"/>
          <w:sz w:val="32"/>
          <w:szCs w:val="32"/>
        </w:rPr>
        <w:t>车位租金按《江苏省物业管理条例》要求实施；</w:t>
      </w:r>
      <w:r>
        <w:rPr>
          <w:rFonts w:ascii="Times New Roman" w:hAnsi="Times New Roman" w:eastAsia="方正仿宋_GBK" w:cs="Times New Roman"/>
          <w:sz w:val="32"/>
          <w:szCs w:val="32"/>
        </w:rPr>
        <w:t>其他物业服务收费实行市场调节价。法律法规另有规定的，从其规定。</w:t>
      </w:r>
    </w:p>
    <w:p w14:paraId="79C583BB">
      <w:pPr>
        <w:spacing w:line="60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二、以项目核准（备案）文件、建设用地规划许可证、建设工程规划许可证（含规划总平面图）、不动产权证或国有土地使用权证等相关文件为依据，以下项目属于非普通住宅：</w:t>
      </w:r>
    </w:p>
    <w:p w14:paraId="5647109C">
      <w:pPr>
        <w:spacing w:line="600" w:lineRule="exact"/>
        <w:ind w:firstLine="630"/>
        <w:rPr>
          <w:rFonts w:ascii="Times New Roman" w:hAnsi="Times New Roman" w:eastAsia="方正仿宋_GBK" w:cs="Times New Roman"/>
          <w:strike/>
          <w:sz w:val="32"/>
          <w:szCs w:val="32"/>
        </w:rPr>
      </w:pPr>
      <w:r>
        <w:rPr>
          <w:rFonts w:ascii="Times New Roman" w:hAnsi="Times New Roman" w:eastAsia="方正仿宋_GBK" w:cs="Times New Roman"/>
          <w:sz w:val="32"/>
          <w:szCs w:val="32"/>
        </w:rPr>
        <w:t>（一）酒店式公寓、商住综合楼中的住宅；</w:t>
      </w:r>
    </w:p>
    <w:p w14:paraId="761A134A">
      <w:pPr>
        <w:spacing w:line="60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（二）获得住建部3A级住宅性能认定的住宅；</w:t>
      </w:r>
    </w:p>
    <w:p w14:paraId="5F687F4E">
      <w:pPr>
        <w:spacing w:line="60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（三）设备设施配备先进、服务品质高以及运营成本高，经市级物业管理行政主管部门和市级价格主管部门组织的专家组评定的高品质住宅。</w:t>
      </w:r>
    </w:p>
    <w:p w14:paraId="6126A51C">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三、普通住宅前期物业服务合同自签订之日起三十日内，由物业服务企业向物业项目所在区物业管理行政主管部门和价格主管部门备案。</w:t>
      </w:r>
    </w:p>
    <w:p w14:paraId="02D577E5">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业主大会成立前，前期物业服务合同解除的，建设单位应当按照已确定的前期物业服务合同，通过公开招投标重新确定物业服务企业，且不得变动已确定的物业服务标准和收费标准。新确定的物业服务企业需向物业项目所在区物业管理行政主管部门和价格主管部门备案。</w:t>
      </w:r>
    </w:p>
    <w:p w14:paraId="2797EEF9">
      <w:pPr>
        <w:spacing w:line="60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五、物业管理区域内已竣工但建设单位尚未出售、附赠、出租，或者因建设单位原因未按时交付给车位买受人的空置车位、车库，其汽车停放费由建设单位承担。</w:t>
      </w:r>
    </w:p>
    <w:p w14:paraId="1B8113DF">
      <w:pPr>
        <w:spacing w:line="60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六、普通住宅物业管理区域单间独用车库汽车停放费按物业公共服务费标准收取，其他车库汽车停放费按约定的室内车位标准收取。</w:t>
      </w:r>
    </w:p>
    <w:p w14:paraId="6D70709D">
      <w:pPr>
        <w:spacing w:line="60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七、新建住宅小区实行门禁出入证（卡）管理的，或住宅小区交付使用后新配置或升级改造门禁系统实行门禁出入证（卡）管理的，应当为每户业主一次性免费配置不少于4张出入证（卡），业主申请多配置或因遗失、损坏需要重新办证（卡）的，可按照补偿成本的原则适当收取工本费。</w:t>
      </w:r>
    </w:p>
    <w:p w14:paraId="3F18187E">
      <w:pPr>
        <w:spacing w:line="60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物业服务企业对车辆实行出入证（卡）管理的，应当为停车业主或物业使用人免费配置1张出入证（卡）。因遗失、损坏需要补办的，可按照补偿成本的原则适当收取工本费。</w:t>
      </w:r>
    </w:p>
    <w:p w14:paraId="140796F9">
      <w:pPr>
        <w:spacing w:line="60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八、设有集中供暖系统、恒温恒湿等特殊系统的物业，应按照“单独列账、以收抵支、收支平衡”的原则，业主大会成立前，由建设单位与物业服务企业在前期物业服务合同中约定系统收费方案；业主大会成立后，由物业服务企业提出相关特殊系统收费方案，经业主大会</w:t>
      </w:r>
      <w:r>
        <w:rPr>
          <w:rFonts w:ascii="Times New Roman" w:hAnsi="Times New Roman" w:eastAsia="方正仿宋_GBK" w:cs="Times New Roman"/>
          <w:color w:val="000000"/>
          <w:kern w:val="0"/>
          <w:sz w:val="32"/>
          <w:szCs w:val="32"/>
        </w:rPr>
        <w:t>或者业主大会授权的业主委员会</w:t>
      </w:r>
      <w:r>
        <w:rPr>
          <w:rFonts w:ascii="Times New Roman" w:hAnsi="Times New Roman" w:eastAsia="方正仿宋_GBK" w:cs="Times New Roman"/>
          <w:sz w:val="32"/>
          <w:szCs w:val="32"/>
        </w:rPr>
        <w:t>同意后收取。物业服务企业应当定期向业主公布收支情况。</w:t>
      </w:r>
    </w:p>
    <w:p w14:paraId="5D02447C">
      <w:pPr>
        <w:spacing w:line="60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九、物业服务企业应当在物业管理区域内显著位置公示物业服务企业名称、服务内容、服务等级、收费项目、收费标准、收费方式以及收费依据、举报投诉电话等，自觉接受业主、物业使用人的监督。</w:t>
      </w:r>
    </w:p>
    <w:p w14:paraId="7F53D641">
      <w:pPr>
        <w:spacing w:line="60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（一）物业服务企业不得向业主、物业使用人收取任何未予标明和事前未告知（业主要求的有偿特约服务经双方协商的费用除外）的费用；不得向业主和装修单位收取装修人员出入证工本费、电梯使用费等费用。</w:t>
      </w:r>
    </w:p>
    <w:p w14:paraId="4D237D9E">
      <w:pPr>
        <w:spacing w:line="60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（二）进入物业管理区域内为约定业主、物业使用人提供配送、维修、安装等服务的外来人员，物业服务企业不得收取人员进入费用。</w:t>
      </w:r>
    </w:p>
    <w:p w14:paraId="76DE4FAB">
      <w:pPr>
        <w:spacing w:line="60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（三）进入物业管理区域临时停放的机动车，未超过一小时的免收费用，超过一小时的按规定交费。</w:t>
      </w:r>
    </w:p>
    <w:p w14:paraId="5ECE6203">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十、贯彻实施意见出台之前，已经依法通过协议、合同等形式约定的物业服务收费等事项，与国家、省、市物业服务收费管理政策不冲突的，继续按原约定执行。</w:t>
      </w:r>
    </w:p>
    <w:p w14:paraId="483512B3">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十一、本实施意见自202</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26</w:t>
      </w:r>
      <w:r>
        <w:rPr>
          <w:rFonts w:ascii="Times New Roman" w:hAnsi="Times New Roman" w:eastAsia="方正仿宋_GBK" w:cs="Times New Roman"/>
          <w:sz w:val="32"/>
          <w:szCs w:val="32"/>
        </w:rPr>
        <w:t>日起执行。《南京市物业服务收费管理实施办法》（宁价房〔2005〕058号）、《关于物业服务收费管理中部分住宅项目适用标准的意见》（宁价房〔2009〕264号）、《南京市物业管理区域停车服务收费管理规定》（宁价规〔2009〕312号）、《关于加强街道物业服务中心物业服务收费管理的实施意见》（宁价房〔2009〕326号）、《关于明确当前物业服务收费有关问题的通知》（宁价服〔2013〕243号）、《关于做好住宅物业管理区域停车收费管理工作的通知》（宁价服〔2014〕145号）、《关于明确物业服务收费管理中有关问题的通知》（宁价服〔2015〕137号）同时废止。以往物业服务收费政策与本实施意见不一致的，以本实施意见为准。</w:t>
      </w:r>
    </w:p>
    <w:p w14:paraId="03464DAA">
      <w:pPr>
        <w:spacing w:line="600" w:lineRule="exact"/>
        <w:ind w:firstLine="640" w:firstLineChars="200"/>
        <w:rPr>
          <w:rFonts w:ascii="Times New Roman" w:hAnsi="Times New Roman" w:eastAsia="方正仿宋_GBK" w:cs="Times New Roman"/>
          <w:sz w:val="32"/>
          <w:szCs w:val="32"/>
        </w:rPr>
      </w:pPr>
    </w:p>
    <w:p w14:paraId="40282ABD">
      <w:pPr>
        <w:spacing w:line="600" w:lineRule="exact"/>
        <w:ind w:left="1598" w:leftChars="304" w:hanging="960" w:hanging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附件：省发展改革委 省住房城乡建设厅关于印发《江苏省物业服务收费管理办法》的通知</w:t>
      </w:r>
    </w:p>
    <w:p w14:paraId="691317FA">
      <w:pPr>
        <w:spacing w:line="600" w:lineRule="exact"/>
        <w:ind w:firstLine="640" w:firstLineChars="200"/>
        <w:rPr>
          <w:rFonts w:ascii="Times New Roman" w:hAnsi="Times New Roman" w:eastAsia="方正仿宋_GBK" w:cs="Times New Roman"/>
          <w:sz w:val="32"/>
          <w:szCs w:val="32"/>
        </w:rPr>
      </w:pPr>
    </w:p>
    <w:p w14:paraId="163684A8">
      <w:pPr>
        <w:spacing w:line="600" w:lineRule="exact"/>
        <w:ind w:firstLine="640" w:firstLineChars="200"/>
        <w:rPr>
          <w:rFonts w:ascii="Times New Roman" w:hAnsi="Times New Roman" w:eastAsia="方正仿宋_GBK" w:cs="Times New Roman"/>
          <w:sz w:val="32"/>
          <w:szCs w:val="32"/>
        </w:rPr>
      </w:pPr>
    </w:p>
    <w:p w14:paraId="43E70C4B">
      <w:pPr>
        <w:spacing w:line="600" w:lineRule="exact"/>
        <w:ind w:firstLine="480" w:firstLineChars="15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南京市发展和改革委员会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南京市住房保障和房产局</w:t>
      </w:r>
    </w:p>
    <w:p w14:paraId="3102373A">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26</w:t>
      </w:r>
      <w:r>
        <w:rPr>
          <w:rFonts w:ascii="Times New Roman" w:hAnsi="Times New Roman" w:eastAsia="方正仿宋_GBK" w:cs="Times New Roman"/>
          <w:sz w:val="32"/>
          <w:szCs w:val="32"/>
        </w:rPr>
        <w:t>日</w:t>
      </w:r>
    </w:p>
    <w:p w14:paraId="58C21083">
      <w:pPr>
        <w:spacing w:line="600" w:lineRule="exact"/>
        <w:rPr>
          <w:rFonts w:ascii="Times New Roman" w:hAnsi="Times New Roman" w:eastAsia="方正仿宋_GBK" w:cs="Times New Roman"/>
          <w:sz w:val="32"/>
          <w:szCs w:val="32"/>
        </w:rPr>
      </w:pPr>
    </w:p>
    <w:p w14:paraId="20F07197">
      <w:pPr>
        <w:spacing w:line="600" w:lineRule="exac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附件链接：http://fzggw.jiangsu.gov.cn/art/2018/12/31/art_51007_8035102.html</w:t>
      </w:r>
    </w:p>
    <w:p w14:paraId="110A6953">
      <w:pPr>
        <w:spacing w:line="600" w:lineRule="exact"/>
        <w:rPr>
          <w:rFonts w:ascii="Times New Roman" w:hAnsi="Times New Roman" w:eastAsia="仿宋_GB2312" w:cs="Times New Roman"/>
          <w:spacing w:val="10"/>
          <w:sz w:val="34"/>
          <w:szCs w:val="34"/>
        </w:rPr>
      </w:pPr>
    </w:p>
    <w:p w14:paraId="1347B499">
      <w:pPr>
        <w:spacing w:line="600" w:lineRule="exact"/>
        <w:rPr>
          <w:rFonts w:ascii="Times New Roman" w:hAnsi="Times New Roman" w:eastAsia="方正仿宋_GBK" w:cs="Times New Roman"/>
          <w:sz w:val="32"/>
        </w:rPr>
      </w:pPr>
    </w:p>
    <w:p w14:paraId="29AF1345">
      <w:pPr>
        <w:spacing w:line="600" w:lineRule="exact"/>
        <w:rPr>
          <w:rFonts w:ascii="Times New Roman" w:hAnsi="Times New Roman" w:eastAsia="方正仿宋_GBK" w:cs="Times New Roman"/>
          <w:sz w:val="32"/>
        </w:rPr>
      </w:pPr>
    </w:p>
    <w:p w14:paraId="5BEE935A">
      <w:pPr>
        <w:spacing w:line="600" w:lineRule="exact"/>
        <w:rPr>
          <w:rFonts w:ascii="Times New Roman" w:hAnsi="Times New Roman" w:eastAsia="方正仿宋_GBK" w:cs="Times New Roman"/>
          <w:sz w:val="32"/>
        </w:rPr>
      </w:pPr>
      <w:bookmarkStart w:id="0" w:name="_GoBack"/>
      <w:bookmarkEnd w:id="0"/>
    </w:p>
    <w:p w14:paraId="01F7636A">
      <w:pPr>
        <w:spacing w:line="600" w:lineRule="exact"/>
        <w:rPr>
          <w:rFonts w:ascii="Times New Roman" w:hAnsi="Times New Roman" w:eastAsia="方正仿宋_GBK" w:cs="Times New Roman"/>
          <w:sz w:val="32"/>
        </w:rPr>
      </w:pPr>
    </w:p>
    <w:p w14:paraId="4EC28D49">
      <w:pPr>
        <w:spacing w:line="600" w:lineRule="exact"/>
        <w:rPr>
          <w:rFonts w:ascii="Times New Roman" w:hAnsi="Times New Roman" w:eastAsia="方正仿宋_GBK" w:cs="Times New Roman"/>
          <w:sz w:val="32"/>
        </w:rPr>
      </w:pPr>
    </w:p>
    <w:p w14:paraId="22E15985">
      <w:pPr>
        <w:spacing w:line="600" w:lineRule="exact"/>
        <w:rPr>
          <w:rFonts w:ascii="Times New Roman" w:hAnsi="Times New Roman" w:eastAsia="方正仿宋_GBK" w:cs="Times New Roman"/>
          <w:sz w:val="32"/>
        </w:rPr>
      </w:pPr>
    </w:p>
    <w:p w14:paraId="1B229025">
      <w:pPr>
        <w:spacing w:line="600" w:lineRule="exact"/>
      </w:pPr>
    </w:p>
    <w:tbl>
      <w:tblPr>
        <w:tblStyle w:val="5"/>
        <w:tblW w:w="8705"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28" w:type="dxa"/>
          <w:bottom w:w="0" w:type="dxa"/>
          <w:right w:w="28" w:type="dxa"/>
        </w:tblCellMar>
      </w:tblPr>
      <w:tblGrid>
        <w:gridCol w:w="1250"/>
        <w:gridCol w:w="3595"/>
        <w:gridCol w:w="3860"/>
      </w:tblGrid>
      <w:tr w14:paraId="3F75003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28" w:type="dxa"/>
            <w:bottom w:w="0" w:type="dxa"/>
            <w:right w:w="28" w:type="dxa"/>
          </w:tblCellMar>
        </w:tblPrEx>
        <w:trPr>
          <w:trHeight w:val="570" w:hRule="atLeast"/>
          <w:jc w:val="center"/>
        </w:trPr>
        <w:tc>
          <w:tcPr>
            <w:tcW w:w="1250" w:type="dxa"/>
            <w:tcBorders>
              <w:top w:val="single" w:color="auto" w:sz="4" w:space="0"/>
              <w:left w:val="nil"/>
              <w:bottom w:val="single" w:color="auto" w:sz="4" w:space="0"/>
              <w:right w:val="nil"/>
            </w:tcBorders>
            <w:vAlign w:val="center"/>
          </w:tcPr>
          <w:p w14:paraId="1D534782">
            <w:pPr>
              <w:pStyle w:val="12"/>
              <w:ind w:right="149" w:rightChars="71" w:firstLine="0"/>
              <w:rPr>
                <w:rFonts w:eastAsia="方正仿宋_GBK"/>
                <w:sz w:val="28"/>
                <w:szCs w:val="28"/>
              </w:rPr>
            </w:pPr>
            <w:r>
              <w:rPr>
                <w:rFonts w:hint="eastAsia" w:eastAsia="方正仿宋_GBK"/>
                <w:sz w:val="28"/>
                <w:szCs w:val="28"/>
              </w:rPr>
              <w:t>抄送：</w:t>
            </w:r>
          </w:p>
        </w:tc>
        <w:tc>
          <w:tcPr>
            <w:tcW w:w="7455" w:type="dxa"/>
            <w:gridSpan w:val="2"/>
            <w:tcBorders>
              <w:top w:val="single" w:color="auto" w:sz="4" w:space="0"/>
              <w:left w:val="nil"/>
              <w:bottom w:val="single" w:color="auto" w:sz="4" w:space="0"/>
              <w:right w:val="nil"/>
            </w:tcBorders>
            <w:vAlign w:val="center"/>
          </w:tcPr>
          <w:p w14:paraId="460BB1F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江苏省发展和改革委员会</w:t>
            </w:r>
            <w:r>
              <w:rPr>
                <w:rFonts w:hint="eastAsia" w:ascii="Times New Roman" w:hAnsi="Times New Roman" w:eastAsia="方正仿宋_GBK" w:cs="Times New Roman"/>
                <w:sz w:val="28"/>
                <w:szCs w:val="28"/>
              </w:rPr>
              <w:t>，江苏省住房和城乡建设厅、南京市市场监督管理局、南京市人民防空办公室。</w:t>
            </w:r>
          </w:p>
        </w:tc>
      </w:tr>
      <w:tr w14:paraId="228F00AC">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28" w:type="dxa"/>
            <w:bottom w:w="0" w:type="dxa"/>
            <w:right w:w="28" w:type="dxa"/>
          </w:tblCellMar>
        </w:tblPrEx>
        <w:trPr>
          <w:trHeight w:val="570" w:hRule="atLeast"/>
          <w:jc w:val="center"/>
        </w:trPr>
        <w:tc>
          <w:tcPr>
            <w:tcW w:w="4845" w:type="dxa"/>
            <w:gridSpan w:val="2"/>
            <w:tcBorders>
              <w:top w:val="single" w:color="auto" w:sz="4" w:space="0"/>
              <w:left w:val="nil"/>
              <w:bottom w:val="single" w:color="auto" w:sz="4" w:space="0"/>
              <w:right w:val="nil"/>
            </w:tcBorders>
            <w:vAlign w:val="center"/>
          </w:tcPr>
          <w:p w14:paraId="77B55F3A">
            <w:pPr>
              <w:pStyle w:val="11"/>
              <w:ind w:firstLine="0"/>
              <w:rPr>
                <w:rFonts w:eastAsia="方正仿宋_GBK"/>
                <w:sz w:val="28"/>
                <w:szCs w:val="28"/>
              </w:rPr>
            </w:pPr>
            <w:r>
              <w:rPr>
                <w:rFonts w:hint="eastAsia" w:eastAsia="方正仿宋_GBK"/>
                <w:sz w:val="28"/>
                <w:szCs w:val="28"/>
              </w:rPr>
              <w:t>南京市发展和改革委员会办公室</w:t>
            </w:r>
          </w:p>
        </w:tc>
        <w:tc>
          <w:tcPr>
            <w:tcW w:w="3860" w:type="dxa"/>
            <w:tcBorders>
              <w:top w:val="single" w:color="auto" w:sz="4" w:space="0"/>
              <w:left w:val="nil"/>
              <w:bottom w:val="single" w:color="auto" w:sz="4" w:space="0"/>
              <w:right w:val="nil"/>
            </w:tcBorders>
            <w:vAlign w:val="center"/>
          </w:tcPr>
          <w:p w14:paraId="3E3DFB72">
            <w:pPr>
              <w:pStyle w:val="10"/>
              <w:rPr>
                <w:rFonts w:eastAsia="方正仿宋_GBK"/>
                <w:sz w:val="28"/>
                <w:szCs w:val="28"/>
              </w:rPr>
            </w:pPr>
            <w:r>
              <w:rPr>
                <w:rFonts w:eastAsia="方正仿宋_GBK"/>
                <w:color w:val="960096"/>
                <w:sz w:val="28"/>
                <w:szCs w:val="28"/>
              </w:rPr>
              <w:t xml:space="preserve">    </w:t>
            </w:r>
            <w:r>
              <w:rPr>
                <w:rFonts w:eastAsia="方正仿宋_GBK"/>
                <w:sz w:val="28"/>
                <w:szCs w:val="28"/>
              </w:rPr>
              <w:t>202</w:t>
            </w:r>
            <w:r>
              <w:rPr>
                <w:rFonts w:hint="eastAsia" w:eastAsia="方正仿宋_GBK"/>
                <w:sz w:val="28"/>
                <w:szCs w:val="28"/>
              </w:rPr>
              <w:t>1年3月26日印发</w:t>
            </w:r>
          </w:p>
        </w:tc>
      </w:tr>
    </w:tbl>
    <w:p w14:paraId="30F5DE7D">
      <w:pPr>
        <w:spacing w:line="20" w:lineRule="exact"/>
      </w:pPr>
    </w:p>
    <w:sectPr>
      <w:footerReference r:id="rId3" w:type="default"/>
      <w:footerReference r:id="rId4" w:type="even"/>
      <w:pgSz w:w="11906" w:h="16838"/>
      <w:pgMar w:top="2098" w:right="1474" w:bottom="1701" w:left="158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399385"/>
      <w:docPartObj>
        <w:docPartGallery w:val="AutoText"/>
      </w:docPartObj>
    </w:sdtPr>
    <w:sdtEndPr>
      <w:rPr>
        <w:rFonts w:ascii="宋体" w:hAnsi="宋体" w:eastAsia="宋体"/>
        <w:sz w:val="28"/>
        <w:szCs w:val="28"/>
      </w:rPr>
    </w:sdtEndPr>
    <w:sdtContent>
      <w:p w14:paraId="63FD35E2">
        <w:pPr>
          <w:pStyle w:val="3"/>
          <w:ind w:right="18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sdtContent>
  </w:sdt>
  <w:p w14:paraId="5DACAB9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3CDF9">
    <w:pPr>
      <w:pStyle w:val="3"/>
      <w:rPr>
        <w:rFonts w:ascii="宋体" w:hAnsi="宋体" w:eastAsia="宋体"/>
        <w:sz w:val="28"/>
        <w:szCs w:val="28"/>
      </w:rPr>
    </w:pPr>
    <w:r>
      <w:rPr>
        <w:rFonts w:hint="eastAsia"/>
      </w:rPr>
      <w:t xml:space="preserve">  </w:t>
    </w:r>
    <w:r>
      <w:rPr>
        <w:rFonts w:hint="eastAsia" w:ascii="宋体" w:hAnsi="宋体" w:eastAsia="宋体"/>
        <w:sz w:val="28"/>
        <w:szCs w:val="28"/>
      </w:rPr>
      <w:t xml:space="preserve">― </w:t>
    </w:r>
    <w:sdt>
      <w:sdtPr>
        <w:rPr>
          <w:rFonts w:ascii="宋体" w:hAnsi="宋体" w:eastAsia="宋体"/>
          <w:sz w:val="28"/>
          <w:szCs w:val="28"/>
        </w:rPr>
        <w:id w:val="30399399"/>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sdtContent>
    </w:sdt>
  </w:p>
  <w:p w14:paraId="4D25E7E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A2F6D"/>
    <w:rsid w:val="00062AD5"/>
    <w:rsid w:val="00070670"/>
    <w:rsid w:val="000A1484"/>
    <w:rsid w:val="000B0FEC"/>
    <w:rsid w:val="001018B0"/>
    <w:rsid w:val="00117243"/>
    <w:rsid w:val="0013012D"/>
    <w:rsid w:val="001536A3"/>
    <w:rsid w:val="00156D17"/>
    <w:rsid w:val="0016557B"/>
    <w:rsid w:val="001A46BD"/>
    <w:rsid w:val="001B23B7"/>
    <w:rsid w:val="001C6596"/>
    <w:rsid w:val="00201243"/>
    <w:rsid w:val="002208A3"/>
    <w:rsid w:val="002E42E2"/>
    <w:rsid w:val="002F102E"/>
    <w:rsid w:val="002F4DD7"/>
    <w:rsid w:val="003912D2"/>
    <w:rsid w:val="003977EE"/>
    <w:rsid w:val="003C160B"/>
    <w:rsid w:val="003E1153"/>
    <w:rsid w:val="003E42E5"/>
    <w:rsid w:val="004104FD"/>
    <w:rsid w:val="00420F0C"/>
    <w:rsid w:val="00427E90"/>
    <w:rsid w:val="00460E88"/>
    <w:rsid w:val="00466DDC"/>
    <w:rsid w:val="00471554"/>
    <w:rsid w:val="004B12F7"/>
    <w:rsid w:val="004B59AC"/>
    <w:rsid w:val="0055746E"/>
    <w:rsid w:val="005A36FA"/>
    <w:rsid w:val="005C6222"/>
    <w:rsid w:val="005F1285"/>
    <w:rsid w:val="0060463B"/>
    <w:rsid w:val="00604A11"/>
    <w:rsid w:val="00635B89"/>
    <w:rsid w:val="00693F70"/>
    <w:rsid w:val="006A222B"/>
    <w:rsid w:val="006C3914"/>
    <w:rsid w:val="006D7065"/>
    <w:rsid w:val="00720B97"/>
    <w:rsid w:val="00724E37"/>
    <w:rsid w:val="00731A2E"/>
    <w:rsid w:val="0074731C"/>
    <w:rsid w:val="007477C9"/>
    <w:rsid w:val="007569F5"/>
    <w:rsid w:val="0078353D"/>
    <w:rsid w:val="007B0811"/>
    <w:rsid w:val="007B35A6"/>
    <w:rsid w:val="007B7EDD"/>
    <w:rsid w:val="007C3E52"/>
    <w:rsid w:val="007F6D7E"/>
    <w:rsid w:val="0080594A"/>
    <w:rsid w:val="00825E21"/>
    <w:rsid w:val="008F23A5"/>
    <w:rsid w:val="00937A60"/>
    <w:rsid w:val="00962B97"/>
    <w:rsid w:val="0097017C"/>
    <w:rsid w:val="00972131"/>
    <w:rsid w:val="0099706E"/>
    <w:rsid w:val="009C2C23"/>
    <w:rsid w:val="009C40C3"/>
    <w:rsid w:val="009E7196"/>
    <w:rsid w:val="00A314BA"/>
    <w:rsid w:val="00A805E2"/>
    <w:rsid w:val="00AB2C67"/>
    <w:rsid w:val="00AB470F"/>
    <w:rsid w:val="00AB7867"/>
    <w:rsid w:val="00AD2DEE"/>
    <w:rsid w:val="00AE1DF2"/>
    <w:rsid w:val="00AF1BAC"/>
    <w:rsid w:val="00B10445"/>
    <w:rsid w:val="00BD22E3"/>
    <w:rsid w:val="00BD6747"/>
    <w:rsid w:val="00BF6814"/>
    <w:rsid w:val="00C377A2"/>
    <w:rsid w:val="00C74C42"/>
    <w:rsid w:val="00C9347C"/>
    <w:rsid w:val="00CA2F6D"/>
    <w:rsid w:val="00CA4B94"/>
    <w:rsid w:val="00CB101C"/>
    <w:rsid w:val="00D10C62"/>
    <w:rsid w:val="00D50D6D"/>
    <w:rsid w:val="00D61D5A"/>
    <w:rsid w:val="00D6260D"/>
    <w:rsid w:val="00D765BE"/>
    <w:rsid w:val="00DD7552"/>
    <w:rsid w:val="00DF79E2"/>
    <w:rsid w:val="00E0657F"/>
    <w:rsid w:val="00E5715F"/>
    <w:rsid w:val="00E77740"/>
    <w:rsid w:val="00EE5C88"/>
    <w:rsid w:val="00F038EA"/>
    <w:rsid w:val="00F42DCC"/>
    <w:rsid w:val="00F6465B"/>
    <w:rsid w:val="00F72891"/>
    <w:rsid w:val="00F7791A"/>
    <w:rsid w:val="00F806AE"/>
    <w:rsid w:val="00F85B1F"/>
    <w:rsid w:val="00FB0647"/>
    <w:rsid w:val="00FD75A3"/>
    <w:rsid w:val="00FF7079"/>
    <w:rsid w:val="029502B6"/>
    <w:rsid w:val="08760813"/>
    <w:rsid w:val="18153E68"/>
    <w:rsid w:val="18CE0CA7"/>
    <w:rsid w:val="19530DFF"/>
    <w:rsid w:val="1AC0240D"/>
    <w:rsid w:val="1F33436B"/>
    <w:rsid w:val="22941EBE"/>
    <w:rsid w:val="2EA81787"/>
    <w:rsid w:val="383A2412"/>
    <w:rsid w:val="3B1F6A62"/>
    <w:rsid w:val="3F3D1B5F"/>
    <w:rsid w:val="402439C1"/>
    <w:rsid w:val="40CB058B"/>
    <w:rsid w:val="43B176A7"/>
    <w:rsid w:val="48701257"/>
    <w:rsid w:val="49E1305C"/>
    <w:rsid w:val="4A784BBB"/>
    <w:rsid w:val="55932252"/>
    <w:rsid w:val="5887651C"/>
    <w:rsid w:val="5FF7480F"/>
    <w:rsid w:val="60126B86"/>
    <w:rsid w:val="60F74A2F"/>
    <w:rsid w:val="63AC1F1E"/>
    <w:rsid w:val="66A66182"/>
    <w:rsid w:val="686415D5"/>
    <w:rsid w:val="692264E0"/>
    <w:rsid w:val="729E7337"/>
    <w:rsid w:val="74592DE0"/>
    <w:rsid w:val="764E21E6"/>
    <w:rsid w:val="79624C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heme="minorHAnsi" w:hAnsiTheme="minorHAnsi" w:eastAsiaTheme="minorEastAsia" w:cstheme="minorBidi"/>
      <w:kern w:val="2"/>
      <w:sz w:val="18"/>
      <w:szCs w:val="18"/>
    </w:rPr>
  </w:style>
  <w:style w:type="paragraph" w:customStyle="1" w:styleId="10">
    <w:name w:val="印发时间"/>
    <w:basedOn w:val="1"/>
    <w:qFormat/>
    <w:uiPriority w:val="0"/>
    <w:pPr>
      <w:jc w:val="right"/>
    </w:pPr>
    <w:rPr>
      <w:rFonts w:ascii="Times New Roman" w:hAnsi="Times New Roman" w:eastAsia="仿宋_GB2312" w:cs="Times New Roman"/>
      <w:sz w:val="32"/>
      <w:szCs w:val="20"/>
    </w:rPr>
  </w:style>
  <w:style w:type="paragraph" w:customStyle="1" w:styleId="11">
    <w:name w:val="印发机关"/>
    <w:basedOn w:val="1"/>
    <w:qFormat/>
    <w:uiPriority w:val="0"/>
    <w:pPr>
      <w:ind w:firstLine="320"/>
    </w:pPr>
    <w:rPr>
      <w:rFonts w:ascii="Times New Roman" w:hAnsi="Times New Roman" w:eastAsia="仿宋_GB2312" w:cs="Times New Roman"/>
      <w:sz w:val="32"/>
      <w:szCs w:val="20"/>
    </w:rPr>
  </w:style>
  <w:style w:type="paragraph" w:customStyle="1" w:styleId="12">
    <w:name w:val="抄送机关"/>
    <w:basedOn w:val="1"/>
    <w:qFormat/>
    <w:uiPriority w:val="0"/>
    <w:pPr>
      <w:ind w:firstLine="320"/>
    </w:pPr>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1987</Words>
  <Characters>2043</Characters>
  <Lines>15</Lines>
  <Paragraphs>4</Paragraphs>
  <TotalTime>19</TotalTime>
  <ScaleCrop>false</ScaleCrop>
  <LinksUpToDate>false</LinksUpToDate>
  <CharactersWithSpaces>2090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2020-09-10T09:05:00Z</dcterms:created>
  <dc:creator>徐卫华</dc:creator>
  <cp:lastModifiedBy>孔志强</cp:lastModifiedBy>
  <cp:lastPrinted>2020-09-10T03:15:00Z</cp:lastPrinted>
  <dcterms:modified xsi:type="dcterms:W3CDTF">2025-07-15T08:42:35Z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eyJoZGlkIjoiNmI3NGFjZDQxOGFlZGFmMjcwMzFjYTUwNjhhZTAzNTIifQ==</vt:lpwstr>
  </property>
  <property fmtid="{D5CDD505-2E9C-101B-9397-08002B2CF9AE}" pid="4" name="ICV">
    <vt:lpwstr>2E9606E9187E43FB865E48122D27FE1A_12</vt:lpwstr>
  </property>
</Properties>
</file>