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AA3B8">
      <w:pPr>
        <w:spacing w:line="360" w:lineRule="auto"/>
        <w:ind w:firstLine="0" w:firstLineChars="0"/>
        <w:jc w:val="center"/>
        <w:rPr>
          <w:rFonts w:ascii="Times New Roman" w:hAnsi="Times New Roman" w:eastAsia="方正小标宋_GBK" w:cs="Times New Roman"/>
          <w:sz w:val="44"/>
          <w:szCs w:val="44"/>
        </w:rPr>
      </w:pPr>
    </w:p>
    <w:p w14:paraId="2DF8191F">
      <w:pPr>
        <w:spacing w:line="360" w:lineRule="auto"/>
        <w:ind w:firstLine="0" w:firstLineChars="0"/>
        <w:jc w:val="center"/>
        <w:rPr>
          <w:rFonts w:ascii="Times New Roman" w:hAnsi="Times New Roman" w:eastAsia="方正小标宋_GBK" w:cs="Times New Roman"/>
          <w:sz w:val="44"/>
          <w:szCs w:val="44"/>
        </w:rPr>
      </w:pPr>
    </w:p>
    <w:p w14:paraId="23E556CA">
      <w:pPr>
        <w:spacing w:line="360" w:lineRule="auto"/>
        <w:ind w:firstLine="0" w:firstLineChars="0"/>
        <w:jc w:val="center"/>
        <w:rPr>
          <w:rFonts w:ascii="Times New Roman" w:hAnsi="Times New Roman" w:eastAsia="方正小标宋_GBK" w:cs="Times New Roman"/>
          <w:sz w:val="44"/>
          <w:szCs w:val="44"/>
        </w:rPr>
      </w:pPr>
    </w:p>
    <w:p w14:paraId="6DBF837F">
      <w:pPr>
        <w:ind w:firstLine="0" w:firstLineChars="0"/>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南京市发展和改革委员会</w:t>
      </w:r>
    </w:p>
    <w:p w14:paraId="0C384747">
      <w:pPr>
        <w:ind w:firstLine="0" w:firstLineChars="0"/>
        <w:jc w:val="center"/>
        <w:rPr>
          <w:rFonts w:ascii="Times New Roman" w:hAnsi="Times New Roman" w:eastAsia="方正楷体_GBK" w:cs="Times New Roman"/>
          <w:bCs/>
          <w:spacing w:val="4"/>
          <w:sz w:val="44"/>
          <w:szCs w:val="44"/>
        </w:rPr>
      </w:pPr>
      <w:r>
        <w:rPr>
          <w:rFonts w:hint="eastAsia" w:ascii="Times New Roman" w:hAnsi="Times New Roman" w:eastAsia="方正小标宋_GBK" w:cs="Times New Roman"/>
          <w:sz w:val="44"/>
          <w:szCs w:val="44"/>
        </w:rPr>
        <w:t>2024年度部门整体支出绩效自评报告</w:t>
      </w:r>
    </w:p>
    <w:p w14:paraId="0870ACBB">
      <w:pPr>
        <w:ind w:firstLine="0" w:firstLineChars="0"/>
        <w:jc w:val="center"/>
        <w:rPr>
          <w:rFonts w:ascii="Times New Roman" w:hAnsi="Times New Roman" w:eastAsia="方正楷体_GBK" w:cs="Times New Roman"/>
          <w:bCs/>
          <w:spacing w:val="4"/>
          <w:sz w:val="44"/>
          <w:szCs w:val="44"/>
        </w:rPr>
      </w:pPr>
    </w:p>
    <w:p w14:paraId="69827CD6">
      <w:pPr>
        <w:ind w:firstLine="0" w:firstLineChars="0"/>
        <w:jc w:val="center"/>
        <w:rPr>
          <w:rFonts w:ascii="Times New Roman" w:hAnsi="Times New Roman" w:eastAsia="方正楷体_GBK" w:cs="Times New Roman"/>
          <w:bCs/>
          <w:spacing w:val="4"/>
          <w:sz w:val="44"/>
          <w:szCs w:val="44"/>
        </w:rPr>
      </w:pPr>
    </w:p>
    <w:p w14:paraId="267CD4A9">
      <w:pPr>
        <w:ind w:firstLine="0" w:firstLineChars="0"/>
        <w:jc w:val="center"/>
        <w:rPr>
          <w:rFonts w:ascii="Times New Roman" w:hAnsi="Times New Roman" w:eastAsia="方正楷体_GBK" w:cs="Times New Roman"/>
          <w:bCs/>
          <w:spacing w:val="4"/>
          <w:sz w:val="44"/>
          <w:szCs w:val="44"/>
        </w:rPr>
      </w:pPr>
    </w:p>
    <w:p w14:paraId="48DC9AAD">
      <w:pPr>
        <w:ind w:firstLine="0" w:firstLineChars="0"/>
        <w:jc w:val="center"/>
        <w:rPr>
          <w:rFonts w:ascii="Times New Roman" w:hAnsi="Times New Roman" w:eastAsia="方正楷体_GBK" w:cs="Times New Roman"/>
          <w:bCs/>
          <w:spacing w:val="4"/>
          <w:sz w:val="44"/>
          <w:szCs w:val="44"/>
        </w:rPr>
      </w:pPr>
    </w:p>
    <w:p w14:paraId="55F42477">
      <w:pPr>
        <w:ind w:firstLine="0" w:firstLineChars="0"/>
        <w:jc w:val="center"/>
        <w:rPr>
          <w:rFonts w:ascii="Times New Roman" w:hAnsi="Times New Roman" w:eastAsia="方正楷体_GBK" w:cs="Times New Roman"/>
          <w:bCs/>
          <w:spacing w:val="4"/>
          <w:sz w:val="44"/>
          <w:szCs w:val="44"/>
        </w:rPr>
      </w:pPr>
    </w:p>
    <w:p w14:paraId="66121F1A">
      <w:pPr>
        <w:ind w:firstLine="0" w:firstLineChars="0"/>
        <w:jc w:val="center"/>
        <w:rPr>
          <w:rFonts w:ascii="Times New Roman" w:hAnsi="Times New Roman" w:eastAsia="方正楷体_GBK" w:cs="Times New Roman"/>
          <w:bCs/>
          <w:spacing w:val="4"/>
          <w:sz w:val="44"/>
          <w:szCs w:val="44"/>
        </w:rPr>
      </w:pPr>
    </w:p>
    <w:p w14:paraId="1F39D0E1">
      <w:pPr>
        <w:ind w:firstLine="0" w:firstLineChars="0"/>
        <w:jc w:val="center"/>
        <w:rPr>
          <w:rFonts w:ascii="Times New Roman" w:hAnsi="Times New Roman" w:eastAsia="方正楷体_GBK" w:cs="Times New Roman"/>
          <w:bCs/>
          <w:spacing w:val="4"/>
          <w:sz w:val="44"/>
          <w:szCs w:val="44"/>
        </w:rPr>
      </w:pPr>
    </w:p>
    <w:p w14:paraId="3B02DF8D">
      <w:pPr>
        <w:ind w:firstLine="0" w:firstLineChars="0"/>
        <w:jc w:val="center"/>
        <w:rPr>
          <w:rFonts w:ascii="Times New Roman" w:hAnsi="Times New Roman" w:eastAsia="方正楷体_GBK" w:cs="Times New Roman"/>
          <w:bCs/>
          <w:spacing w:val="4"/>
          <w:sz w:val="44"/>
          <w:szCs w:val="44"/>
        </w:rPr>
      </w:pPr>
    </w:p>
    <w:p w14:paraId="3FB9C112">
      <w:pPr>
        <w:ind w:firstLine="0" w:firstLineChars="0"/>
        <w:jc w:val="center"/>
        <w:rPr>
          <w:rFonts w:ascii="Times New Roman" w:hAnsi="Times New Roman" w:eastAsia="方正楷体_GBK" w:cs="Times New Roman"/>
          <w:bCs/>
          <w:spacing w:val="4"/>
          <w:sz w:val="44"/>
          <w:szCs w:val="44"/>
        </w:rPr>
      </w:pPr>
    </w:p>
    <w:p w14:paraId="49B12FBD">
      <w:pPr>
        <w:ind w:firstLine="0" w:firstLineChars="0"/>
        <w:jc w:val="center"/>
        <w:rPr>
          <w:rFonts w:ascii="Times New Roman" w:hAnsi="Times New Roman" w:eastAsia="方正楷体_GBK" w:cs="Times New Roman"/>
          <w:bCs/>
          <w:spacing w:val="4"/>
          <w:sz w:val="44"/>
          <w:szCs w:val="44"/>
        </w:rPr>
      </w:pPr>
    </w:p>
    <w:p w14:paraId="75CC0215">
      <w:pPr>
        <w:ind w:firstLine="0" w:firstLineChars="0"/>
        <w:jc w:val="center"/>
        <w:rPr>
          <w:rFonts w:ascii="Times New Roman" w:hAnsi="Times New Roman" w:eastAsia="方正楷体_GBK" w:cs="Times New Roman"/>
          <w:bCs/>
          <w:spacing w:val="4"/>
          <w:sz w:val="44"/>
          <w:szCs w:val="44"/>
        </w:rPr>
      </w:pPr>
    </w:p>
    <w:p w14:paraId="4D8D8D67">
      <w:pPr>
        <w:ind w:firstLine="0" w:firstLineChars="0"/>
        <w:jc w:val="center"/>
        <w:rPr>
          <w:rFonts w:ascii="Times New Roman" w:hAnsi="Times New Roman" w:eastAsia="方正楷体_GBK" w:cs="Times New Roman"/>
          <w:bCs/>
          <w:spacing w:val="4"/>
          <w:sz w:val="44"/>
          <w:szCs w:val="44"/>
        </w:rPr>
      </w:pPr>
      <w:r>
        <w:rPr>
          <w:rFonts w:ascii="Times New Roman" w:hAnsi="Times New Roman" w:eastAsia="方正楷体_GBK" w:cs="Times New Roman"/>
          <w:bCs/>
          <w:spacing w:val="4"/>
          <w:sz w:val="44"/>
          <w:szCs w:val="44"/>
        </w:rPr>
        <w:t>2025年6月</w:t>
      </w:r>
    </w:p>
    <w:p w14:paraId="3F987DD3">
      <w:pPr>
        <w:pStyle w:val="6"/>
        <w:ind w:left="0" w:leftChars="0"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Times New Roman" w:hAnsi="Times New Roman" w:eastAsia="宋体" w:cs="Times New Roman"/>
          <w:sz w:val="21"/>
        </w:rPr>
        <w:id w:val="147462294"/>
        <w:docPartObj>
          <w:docPartGallery w:val="Table of Contents"/>
          <w:docPartUnique/>
        </w:docPartObj>
      </w:sdtPr>
      <w:sdtEndPr>
        <w:rPr>
          <w:rFonts w:ascii="Times New Roman" w:hAnsi="Times New Roman" w:eastAsia="宋体" w:cs="Times New Roman"/>
          <w:sz w:val="21"/>
        </w:rPr>
      </w:sdtEndPr>
      <w:sdtContent>
        <w:p w14:paraId="21492D01">
          <w:pPr>
            <w:spacing w:line="240" w:lineRule="auto"/>
            <w:ind w:firstLine="420"/>
            <w:jc w:val="center"/>
            <w:rPr>
              <w:rFonts w:ascii="Times New Roman" w:hAnsi="Times New Roman" w:eastAsia="方正黑体_GBK" w:cs="Times New Roman"/>
              <w:sz w:val="48"/>
              <w:szCs w:val="40"/>
            </w:rPr>
          </w:pPr>
          <w:r>
            <w:rPr>
              <w:rFonts w:ascii="Times New Roman" w:hAnsi="Times New Roman" w:eastAsia="方正黑体_GBK" w:cs="Times New Roman"/>
              <w:sz w:val="36"/>
              <w:szCs w:val="40"/>
            </w:rPr>
            <w:t>目录</w:t>
          </w:r>
        </w:p>
        <w:p w14:paraId="56E024DC">
          <w:pPr>
            <w:pStyle w:val="10"/>
            <w:tabs>
              <w:tab w:val="right" w:leader="dot" w:pos="8306"/>
            </w:tabs>
            <w:ind w:firstLine="600"/>
          </w:pPr>
          <w:r>
            <w:rPr>
              <w:rFonts w:ascii="Times New Roman" w:hAnsi="Times New Roman" w:cs="Times New Roman"/>
            </w:rPr>
            <w:fldChar w:fldCharType="begin"/>
          </w:r>
          <w:r>
            <w:rPr>
              <w:rFonts w:ascii="Times New Roman" w:hAnsi="Times New Roman" w:cs="Times New Roman"/>
            </w:rPr>
            <w:instrText xml:space="preserve">TOC \o "1-2" \h \u </w:instrText>
          </w:r>
          <w:r>
            <w:rPr>
              <w:rFonts w:ascii="Times New Roman" w:hAnsi="Times New Roman" w:cs="Times New Roman"/>
            </w:rPr>
            <w:fldChar w:fldCharType="separate"/>
          </w:r>
          <w:r>
            <w:fldChar w:fldCharType="begin"/>
          </w:r>
          <w:r>
            <w:instrText xml:space="preserve"> HYPERLINK \l "_Toc24627" </w:instrText>
          </w:r>
          <w:r>
            <w:fldChar w:fldCharType="separate"/>
          </w:r>
          <w:r>
            <w:rPr>
              <w:rFonts w:ascii="Times New Roman" w:hAnsi="Times New Roman" w:eastAsia="黑体" w:cs="Times New Roman"/>
              <w:szCs w:val="32"/>
            </w:rPr>
            <w:t>一、部门概况</w:t>
          </w:r>
          <w:r>
            <w:rPr>
              <w:rFonts w:ascii="Times New Roman" w:hAnsi="Times New Roman" w:eastAsia="黑体" w:cs="Times New Roman"/>
              <w:szCs w:val="32"/>
            </w:rPr>
            <w:tab/>
          </w:r>
          <w:r>
            <w:rPr>
              <w:rFonts w:ascii="Times New Roman" w:hAnsi="Times New Roman" w:eastAsia="黑体" w:cs="Times New Roman"/>
              <w:szCs w:val="32"/>
            </w:rPr>
            <w:fldChar w:fldCharType="begin"/>
          </w:r>
          <w:r>
            <w:rPr>
              <w:rFonts w:ascii="Times New Roman" w:hAnsi="Times New Roman" w:eastAsia="黑体" w:cs="Times New Roman"/>
              <w:szCs w:val="32"/>
            </w:rPr>
            <w:instrText xml:space="preserve"> PAGEREF _Toc24627 \h </w:instrText>
          </w:r>
          <w:r>
            <w:rPr>
              <w:rFonts w:ascii="Times New Roman" w:hAnsi="Times New Roman" w:eastAsia="黑体" w:cs="Times New Roman"/>
              <w:szCs w:val="32"/>
            </w:rPr>
            <w:fldChar w:fldCharType="separate"/>
          </w:r>
          <w:r>
            <w:rPr>
              <w:rFonts w:ascii="Times New Roman" w:hAnsi="Times New Roman" w:eastAsia="黑体" w:cs="Times New Roman"/>
              <w:szCs w:val="32"/>
            </w:rPr>
            <w:t>1</w:t>
          </w:r>
          <w:r>
            <w:rPr>
              <w:rFonts w:ascii="Times New Roman" w:hAnsi="Times New Roman" w:eastAsia="黑体" w:cs="Times New Roman"/>
              <w:szCs w:val="32"/>
            </w:rPr>
            <w:fldChar w:fldCharType="end"/>
          </w:r>
          <w:r>
            <w:rPr>
              <w:rFonts w:ascii="Times New Roman" w:hAnsi="Times New Roman" w:eastAsia="黑体" w:cs="Times New Roman"/>
              <w:szCs w:val="32"/>
            </w:rPr>
            <w:fldChar w:fldCharType="end"/>
          </w:r>
        </w:p>
        <w:p w14:paraId="7BA70D54">
          <w:pPr>
            <w:pStyle w:val="11"/>
            <w:tabs>
              <w:tab w:val="right" w:leader="dot" w:pos="8306"/>
            </w:tabs>
            <w:ind w:left="600" w:firstLine="600"/>
          </w:pPr>
          <w:r>
            <w:fldChar w:fldCharType="begin"/>
          </w:r>
          <w:r>
            <w:instrText xml:space="preserve"> HYPERLINK \l "_Toc14823" </w:instrText>
          </w:r>
          <w:r>
            <w:fldChar w:fldCharType="separate"/>
          </w:r>
          <w:r>
            <w:rPr>
              <w:rFonts w:ascii="Times New Roman" w:hAnsi="Times New Roman" w:eastAsia="方正楷体_GBK" w:cs="Times New Roman"/>
            </w:rPr>
            <w:t>（一）部门基本情况</w:t>
          </w:r>
          <w:r>
            <w:tab/>
          </w:r>
          <w:r>
            <w:fldChar w:fldCharType="begin"/>
          </w:r>
          <w:r>
            <w:instrText xml:space="preserve"> PAGEREF _Toc14823 \h </w:instrText>
          </w:r>
          <w:r>
            <w:fldChar w:fldCharType="separate"/>
          </w:r>
          <w:r>
            <w:t>1</w:t>
          </w:r>
          <w:r>
            <w:fldChar w:fldCharType="end"/>
          </w:r>
          <w:r>
            <w:fldChar w:fldCharType="end"/>
          </w:r>
        </w:p>
        <w:p w14:paraId="5F1FBE41">
          <w:pPr>
            <w:pStyle w:val="11"/>
            <w:tabs>
              <w:tab w:val="right" w:leader="dot" w:pos="8306"/>
            </w:tabs>
            <w:ind w:left="600" w:firstLine="600"/>
          </w:pPr>
          <w:r>
            <w:fldChar w:fldCharType="begin"/>
          </w:r>
          <w:r>
            <w:instrText xml:space="preserve"> HYPERLINK \l "_Toc9583" </w:instrText>
          </w:r>
          <w:r>
            <w:fldChar w:fldCharType="separate"/>
          </w:r>
          <w:r>
            <w:rPr>
              <w:rFonts w:ascii="Times New Roman" w:hAnsi="Times New Roman" w:eastAsia="方正楷体_GBK" w:cs="Times New Roman"/>
            </w:rPr>
            <w:t>（二）部门收支情况</w:t>
          </w:r>
          <w:r>
            <w:tab/>
          </w:r>
          <w:r>
            <w:fldChar w:fldCharType="begin"/>
          </w:r>
          <w:r>
            <w:instrText xml:space="preserve"> PAGEREF _Toc9583 \h </w:instrText>
          </w:r>
          <w:r>
            <w:fldChar w:fldCharType="separate"/>
          </w:r>
          <w:r>
            <w:t>3</w:t>
          </w:r>
          <w:r>
            <w:fldChar w:fldCharType="end"/>
          </w:r>
          <w:r>
            <w:fldChar w:fldCharType="end"/>
          </w:r>
        </w:p>
        <w:p w14:paraId="1A908664">
          <w:pPr>
            <w:pStyle w:val="11"/>
            <w:tabs>
              <w:tab w:val="right" w:leader="dot" w:pos="8306"/>
            </w:tabs>
            <w:ind w:left="600" w:firstLine="600"/>
          </w:pPr>
          <w:r>
            <w:fldChar w:fldCharType="begin"/>
          </w:r>
          <w:r>
            <w:instrText xml:space="preserve"> HYPERLINK \l "_Toc21661" </w:instrText>
          </w:r>
          <w:r>
            <w:fldChar w:fldCharType="separate"/>
          </w:r>
          <w:r>
            <w:rPr>
              <w:rFonts w:ascii="Times New Roman" w:hAnsi="Times New Roman" w:eastAsia="方正楷体_GBK" w:cs="Times New Roman"/>
            </w:rPr>
            <w:t>（三）部门绩效目标</w:t>
          </w:r>
          <w:r>
            <w:tab/>
          </w:r>
          <w:r>
            <w:fldChar w:fldCharType="begin"/>
          </w:r>
          <w:r>
            <w:instrText xml:space="preserve"> PAGEREF _Toc21661 \h </w:instrText>
          </w:r>
          <w:r>
            <w:fldChar w:fldCharType="separate"/>
          </w:r>
          <w:r>
            <w:t>3</w:t>
          </w:r>
          <w:r>
            <w:fldChar w:fldCharType="end"/>
          </w:r>
          <w:r>
            <w:fldChar w:fldCharType="end"/>
          </w:r>
        </w:p>
        <w:p w14:paraId="727548C4">
          <w:pPr>
            <w:pStyle w:val="10"/>
            <w:tabs>
              <w:tab w:val="right" w:leader="dot" w:pos="8306"/>
            </w:tabs>
            <w:ind w:firstLine="600"/>
          </w:pPr>
          <w:r>
            <w:fldChar w:fldCharType="begin"/>
          </w:r>
          <w:r>
            <w:instrText xml:space="preserve"> HYPERLINK \l "_Toc7857" </w:instrText>
          </w:r>
          <w:r>
            <w:fldChar w:fldCharType="separate"/>
          </w:r>
          <w:r>
            <w:rPr>
              <w:rFonts w:ascii="Times New Roman" w:hAnsi="Times New Roman" w:eastAsia="黑体" w:cs="Times New Roman"/>
              <w:szCs w:val="32"/>
            </w:rPr>
            <w:t>二、评价结论</w:t>
          </w:r>
          <w:r>
            <w:tab/>
          </w:r>
          <w:r>
            <w:fldChar w:fldCharType="begin"/>
          </w:r>
          <w:r>
            <w:instrText xml:space="preserve"> PAGEREF _Toc7857 \h </w:instrText>
          </w:r>
          <w:r>
            <w:fldChar w:fldCharType="separate"/>
          </w:r>
          <w:r>
            <w:t>5</w:t>
          </w:r>
          <w:r>
            <w:fldChar w:fldCharType="end"/>
          </w:r>
          <w:r>
            <w:fldChar w:fldCharType="end"/>
          </w:r>
        </w:p>
        <w:p w14:paraId="1C525072">
          <w:pPr>
            <w:pStyle w:val="10"/>
            <w:tabs>
              <w:tab w:val="right" w:leader="dot" w:pos="8306"/>
            </w:tabs>
            <w:ind w:firstLine="600"/>
          </w:pPr>
          <w:r>
            <w:fldChar w:fldCharType="begin"/>
          </w:r>
          <w:r>
            <w:instrText xml:space="preserve"> HYPERLINK \l "_Toc29390" </w:instrText>
          </w:r>
          <w:r>
            <w:fldChar w:fldCharType="separate"/>
          </w:r>
          <w:r>
            <w:rPr>
              <w:rFonts w:ascii="Times New Roman" w:hAnsi="Times New Roman" w:eastAsia="黑体" w:cs="Times New Roman"/>
              <w:szCs w:val="32"/>
            </w:rPr>
            <w:t>三、部门履职成效</w:t>
          </w:r>
          <w:r>
            <w:tab/>
          </w:r>
          <w:r>
            <w:fldChar w:fldCharType="begin"/>
          </w:r>
          <w:r>
            <w:instrText xml:space="preserve"> PAGEREF _Toc29390 \h </w:instrText>
          </w:r>
          <w:r>
            <w:fldChar w:fldCharType="separate"/>
          </w:r>
          <w:r>
            <w:t>6</w:t>
          </w:r>
          <w:r>
            <w:fldChar w:fldCharType="end"/>
          </w:r>
          <w:r>
            <w:fldChar w:fldCharType="end"/>
          </w:r>
        </w:p>
        <w:p w14:paraId="53123C50">
          <w:pPr>
            <w:pStyle w:val="11"/>
            <w:tabs>
              <w:tab w:val="right" w:leader="dot" w:pos="8306"/>
            </w:tabs>
            <w:ind w:left="600" w:firstLine="600"/>
          </w:pPr>
          <w:r>
            <w:fldChar w:fldCharType="begin"/>
          </w:r>
          <w:r>
            <w:instrText xml:space="preserve"> HYPERLINK \l "_Toc29658" </w:instrText>
          </w:r>
          <w:r>
            <w:fldChar w:fldCharType="separate"/>
          </w:r>
          <w:r>
            <w:rPr>
              <w:rFonts w:ascii="Times New Roman" w:hAnsi="Times New Roman" w:eastAsia="方正楷体_GBK" w:cs="Times New Roman"/>
            </w:rPr>
            <w:t>（一）强化顶层设计</w:t>
          </w:r>
          <w:r>
            <w:tab/>
          </w:r>
          <w:r>
            <w:fldChar w:fldCharType="begin"/>
          </w:r>
          <w:r>
            <w:instrText xml:space="preserve"> PAGEREF _Toc29658 \h </w:instrText>
          </w:r>
          <w:r>
            <w:fldChar w:fldCharType="separate"/>
          </w:r>
          <w:r>
            <w:t>6</w:t>
          </w:r>
          <w:r>
            <w:fldChar w:fldCharType="end"/>
          </w:r>
          <w:r>
            <w:fldChar w:fldCharType="end"/>
          </w:r>
        </w:p>
        <w:p w14:paraId="28C92385">
          <w:pPr>
            <w:pStyle w:val="11"/>
            <w:tabs>
              <w:tab w:val="right" w:leader="dot" w:pos="8306"/>
            </w:tabs>
            <w:ind w:left="600" w:firstLine="600"/>
          </w:pPr>
          <w:r>
            <w:fldChar w:fldCharType="begin"/>
          </w:r>
          <w:r>
            <w:instrText xml:space="preserve"> HYPERLINK \l "_Toc31554" </w:instrText>
          </w:r>
          <w:r>
            <w:fldChar w:fldCharType="separate"/>
          </w:r>
          <w:r>
            <w:rPr>
              <w:rFonts w:ascii="Times New Roman" w:hAnsi="Times New Roman" w:eastAsia="方正楷体_GBK" w:cs="Times New Roman"/>
            </w:rPr>
            <w:t>（二）推动经济形势向好</w:t>
          </w:r>
          <w:r>
            <w:tab/>
          </w:r>
          <w:r>
            <w:fldChar w:fldCharType="begin"/>
          </w:r>
          <w:r>
            <w:instrText xml:space="preserve"> PAGEREF _Toc31554 \h </w:instrText>
          </w:r>
          <w:r>
            <w:fldChar w:fldCharType="separate"/>
          </w:r>
          <w:r>
            <w:t>6</w:t>
          </w:r>
          <w:r>
            <w:fldChar w:fldCharType="end"/>
          </w:r>
          <w:r>
            <w:fldChar w:fldCharType="end"/>
          </w:r>
        </w:p>
        <w:p w14:paraId="55FC6459">
          <w:pPr>
            <w:pStyle w:val="11"/>
            <w:tabs>
              <w:tab w:val="right" w:leader="dot" w:pos="8306"/>
            </w:tabs>
            <w:ind w:left="600" w:firstLine="600"/>
          </w:pPr>
          <w:r>
            <w:fldChar w:fldCharType="begin"/>
          </w:r>
          <w:r>
            <w:instrText xml:space="preserve"> HYPERLINK \l "_Toc32082" </w:instrText>
          </w:r>
          <w:r>
            <w:fldChar w:fldCharType="separate"/>
          </w:r>
          <w:r>
            <w:rPr>
              <w:rFonts w:ascii="Times New Roman" w:hAnsi="Times New Roman" w:eastAsia="方正楷体_GBK" w:cs="Times New Roman"/>
            </w:rPr>
            <w:t>（三）推动项目建设提质</w:t>
          </w:r>
          <w:r>
            <w:tab/>
          </w:r>
          <w:r>
            <w:fldChar w:fldCharType="begin"/>
          </w:r>
          <w:r>
            <w:instrText xml:space="preserve"> PAGEREF _Toc32082 \h </w:instrText>
          </w:r>
          <w:r>
            <w:fldChar w:fldCharType="separate"/>
          </w:r>
          <w:r>
            <w:t>7</w:t>
          </w:r>
          <w:r>
            <w:fldChar w:fldCharType="end"/>
          </w:r>
          <w:r>
            <w:fldChar w:fldCharType="end"/>
          </w:r>
        </w:p>
        <w:p w14:paraId="655B78A1">
          <w:pPr>
            <w:pStyle w:val="11"/>
            <w:tabs>
              <w:tab w:val="right" w:leader="dot" w:pos="8306"/>
            </w:tabs>
            <w:ind w:left="600" w:firstLine="600"/>
          </w:pPr>
          <w:r>
            <w:fldChar w:fldCharType="begin"/>
          </w:r>
          <w:r>
            <w:instrText xml:space="preserve"> HYPERLINK \l "_Toc18040" </w:instrText>
          </w:r>
          <w:r>
            <w:fldChar w:fldCharType="separate"/>
          </w:r>
          <w:r>
            <w:rPr>
              <w:rFonts w:ascii="Times New Roman" w:hAnsi="Times New Roman" w:eastAsia="方正楷体_GBK" w:cs="Times New Roman"/>
            </w:rPr>
            <w:t>（四）驱动产业转型升级</w:t>
          </w:r>
          <w:r>
            <w:tab/>
          </w:r>
          <w:r>
            <w:fldChar w:fldCharType="begin"/>
          </w:r>
          <w:r>
            <w:instrText xml:space="preserve"> PAGEREF _Toc18040 \h </w:instrText>
          </w:r>
          <w:r>
            <w:fldChar w:fldCharType="separate"/>
          </w:r>
          <w:r>
            <w:t>7</w:t>
          </w:r>
          <w:r>
            <w:fldChar w:fldCharType="end"/>
          </w:r>
          <w:r>
            <w:fldChar w:fldCharType="end"/>
          </w:r>
        </w:p>
        <w:p w14:paraId="2F268BCA">
          <w:pPr>
            <w:pStyle w:val="11"/>
            <w:tabs>
              <w:tab w:val="right" w:leader="dot" w:pos="8306"/>
            </w:tabs>
            <w:ind w:left="600" w:firstLine="600"/>
          </w:pPr>
          <w:r>
            <w:fldChar w:fldCharType="begin"/>
          </w:r>
          <w:r>
            <w:instrText xml:space="preserve"> HYPERLINK \l "_Toc29809" </w:instrText>
          </w:r>
          <w:r>
            <w:fldChar w:fldCharType="separate"/>
          </w:r>
          <w:r>
            <w:rPr>
              <w:rFonts w:ascii="Times New Roman" w:hAnsi="Times New Roman" w:eastAsia="方正楷体_GBK" w:cs="Times New Roman"/>
            </w:rPr>
            <w:t>（五）推动重点改革任务落实</w:t>
          </w:r>
          <w:r>
            <w:tab/>
          </w:r>
          <w:r>
            <w:fldChar w:fldCharType="begin"/>
          </w:r>
          <w:r>
            <w:instrText xml:space="preserve"> PAGEREF _Toc29809 \h </w:instrText>
          </w:r>
          <w:r>
            <w:fldChar w:fldCharType="separate"/>
          </w:r>
          <w:r>
            <w:t>8</w:t>
          </w:r>
          <w:r>
            <w:fldChar w:fldCharType="end"/>
          </w:r>
          <w:r>
            <w:fldChar w:fldCharType="end"/>
          </w:r>
        </w:p>
        <w:p w14:paraId="0ED22CA5">
          <w:pPr>
            <w:pStyle w:val="11"/>
            <w:tabs>
              <w:tab w:val="right" w:leader="dot" w:pos="8306"/>
            </w:tabs>
            <w:ind w:left="600" w:firstLine="600"/>
          </w:pPr>
          <w:r>
            <w:fldChar w:fldCharType="begin"/>
          </w:r>
          <w:r>
            <w:instrText xml:space="preserve"> HYPERLINK \l "_Toc10232" </w:instrText>
          </w:r>
          <w:r>
            <w:fldChar w:fldCharType="separate"/>
          </w:r>
          <w:r>
            <w:rPr>
              <w:rFonts w:ascii="Times New Roman" w:hAnsi="Times New Roman" w:eastAsia="方正楷体_GBK" w:cs="Times New Roman"/>
            </w:rPr>
            <w:t>（六）推动国家重大战略落地</w:t>
          </w:r>
          <w:r>
            <w:tab/>
          </w:r>
          <w:r>
            <w:fldChar w:fldCharType="begin"/>
          </w:r>
          <w:r>
            <w:instrText xml:space="preserve"> PAGEREF _Toc10232 \h </w:instrText>
          </w:r>
          <w:r>
            <w:fldChar w:fldCharType="separate"/>
          </w:r>
          <w:r>
            <w:t>8</w:t>
          </w:r>
          <w:r>
            <w:fldChar w:fldCharType="end"/>
          </w:r>
          <w:r>
            <w:fldChar w:fldCharType="end"/>
          </w:r>
        </w:p>
        <w:p w14:paraId="6CC7DEB1">
          <w:pPr>
            <w:pStyle w:val="11"/>
            <w:tabs>
              <w:tab w:val="right" w:leader="dot" w:pos="8306"/>
            </w:tabs>
            <w:ind w:left="600" w:firstLine="600"/>
          </w:pPr>
          <w:r>
            <w:fldChar w:fldCharType="begin"/>
          </w:r>
          <w:r>
            <w:instrText xml:space="preserve"> HYPERLINK \l "_Toc2050" </w:instrText>
          </w:r>
          <w:r>
            <w:fldChar w:fldCharType="separate"/>
          </w:r>
          <w:r>
            <w:rPr>
              <w:rFonts w:ascii="Times New Roman" w:hAnsi="Times New Roman" w:eastAsia="方正楷体_GBK" w:cs="Times New Roman"/>
            </w:rPr>
            <w:t>（七）推动重点领域保障</w:t>
          </w:r>
          <w:r>
            <w:tab/>
          </w:r>
          <w:r>
            <w:fldChar w:fldCharType="begin"/>
          </w:r>
          <w:r>
            <w:instrText xml:space="preserve"> PAGEREF _Toc2050 \h </w:instrText>
          </w:r>
          <w:r>
            <w:fldChar w:fldCharType="separate"/>
          </w:r>
          <w:r>
            <w:t>9</w:t>
          </w:r>
          <w:r>
            <w:fldChar w:fldCharType="end"/>
          </w:r>
          <w:r>
            <w:fldChar w:fldCharType="end"/>
          </w:r>
        </w:p>
        <w:p w14:paraId="07C42295">
          <w:pPr>
            <w:pStyle w:val="10"/>
            <w:tabs>
              <w:tab w:val="right" w:leader="dot" w:pos="8306"/>
            </w:tabs>
            <w:ind w:firstLine="600"/>
          </w:pPr>
          <w:r>
            <w:fldChar w:fldCharType="begin"/>
          </w:r>
          <w:r>
            <w:instrText xml:space="preserve"> HYPERLINK \l "_Toc7987" </w:instrText>
          </w:r>
          <w:r>
            <w:fldChar w:fldCharType="separate"/>
          </w:r>
          <w:r>
            <w:rPr>
              <w:rFonts w:ascii="Times New Roman" w:hAnsi="Times New Roman" w:eastAsia="黑体" w:cs="Times New Roman"/>
              <w:szCs w:val="32"/>
            </w:rPr>
            <w:t>四、存在问题及原因</w:t>
          </w:r>
          <w:r>
            <w:rPr>
              <w:rFonts w:hint="eastAsia" w:ascii="Times New Roman" w:hAnsi="Times New Roman" w:eastAsia="黑体" w:cs="Times New Roman"/>
              <w:szCs w:val="32"/>
            </w:rPr>
            <w:t>分析</w:t>
          </w:r>
          <w:r>
            <w:tab/>
          </w:r>
          <w:r>
            <w:fldChar w:fldCharType="begin"/>
          </w:r>
          <w:r>
            <w:instrText xml:space="preserve"> PAGEREF _Toc7987 \h </w:instrText>
          </w:r>
          <w:r>
            <w:fldChar w:fldCharType="separate"/>
          </w:r>
          <w:r>
            <w:t>9</w:t>
          </w:r>
          <w:r>
            <w:fldChar w:fldCharType="end"/>
          </w:r>
          <w:r>
            <w:fldChar w:fldCharType="end"/>
          </w:r>
        </w:p>
        <w:p w14:paraId="6BBF2823">
          <w:pPr>
            <w:pStyle w:val="11"/>
            <w:tabs>
              <w:tab w:val="right" w:leader="dot" w:pos="8306"/>
            </w:tabs>
            <w:ind w:left="600" w:firstLine="600"/>
          </w:pPr>
          <w:r>
            <w:fldChar w:fldCharType="begin"/>
          </w:r>
          <w:r>
            <w:instrText xml:space="preserve"> HYPERLINK \l "_Toc32290" </w:instrText>
          </w:r>
          <w:r>
            <w:fldChar w:fldCharType="separate"/>
          </w:r>
          <w:r>
            <w:rPr>
              <w:rFonts w:ascii="Times New Roman" w:hAnsi="Times New Roman" w:eastAsia="方正楷体_GBK" w:cs="Times New Roman"/>
            </w:rPr>
            <w:t>（一）绩效目标编制有待进一步完善</w:t>
          </w:r>
          <w:r>
            <w:tab/>
          </w:r>
          <w:r>
            <w:fldChar w:fldCharType="begin"/>
          </w:r>
          <w:r>
            <w:instrText xml:space="preserve"> PAGEREF _Toc32290 \h </w:instrText>
          </w:r>
          <w:r>
            <w:fldChar w:fldCharType="separate"/>
          </w:r>
          <w:r>
            <w:t>9</w:t>
          </w:r>
          <w:r>
            <w:fldChar w:fldCharType="end"/>
          </w:r>
          <w:r>
            <w:fldChar w:fldCharType="end"/>
          </w:r>
        </w:p>
        <w:p w14:paraId="6E6F61C7">
          <w:pPr>
            <w:pStyle w:val="11"/>
            <w:tabs>
              <w:tab w:val="right" w:leader="dot" w:pos="8306"/>
            </w:tabs>
            <w:ind w:left="600" w:firstLine="600"/>
          </w:pPr>
          <w:r>
            <w:fldChar w:fldCharType="begin"/>
          </w:r>
          <w:r>
            <w:instrText xml:space="preserve"> HYPERLINK \l "_Toc21635" </w:instrText>
          </w:r>
          <w:r>
            <w:fldChar w:fldCharType="separate"/>
          </w:r>
          <w:r>
            <w:rPr>
              <w:rFonts w:ascii="Times New Roman" w:hAnsi="Times New Roman" w:eastAsia="方正楷体_GBK" w:cs="Times New Roman"/>
            </w:rPr>
            <w:t>（二）专项资金管理有待进一步加强</w:t>
          </w:r>
          <w:r>
            <w:tab/>
          </w:r>
          <w:r>
            <w:fldChar w:fldCharType="begin"/>
          </w:r>
          <w:r>
            <w:instrText xml:space="preserve"> PAGEREF _Toc21635 \h </w:instrText>
          </w:r>
          <w:r>
            <w:fldChar w:fldCharType="separate"/>
          </w:r>
          <w:r>
            <w:t>10</w:t>
          </w:r>
          <w:r>
            <w:fldChar w:fldCharType="end"/>
          </w:r>
          <w:r>
            <w:fldChar w:fldCharType="end"/>
          </w:r>
        </w:p>
        <w:p w14:paraId="7085E7D9">
          <w:pPr>
            <w:pStyle w:val="10"/>
            <w:tabs>
              <w:tab w:val="right" w:leader="dot" w:pos="8306"/>
            </w:tabs>
            <w:ind w:firstLine="600"/>
          </w:pPr>
          <w:r>
            <w:fldChar w:fldCharType="begin"/>
          </w:r>
          <w:r>
            <w:instrText xml:space="preserve"> HYPERLINK \l "_Toc5571" </w:instrText>
          </w:r>
          <w:r>
            <w:fldChar w:fldCharType="separate"/>
          </w:r>
          <w:r>
            <w:rPr>
              <w:rFonts w:ascii="Times New Roman" w:hAnsi="Times New Roman" w:eastAsia="黑体" w:cs="Times New Roman"/>
              <w:szCs w:val="32"/>
            </w:rPr>
            <w:t>五、有关建议</w:t>
          </w:r>
          <w:r>
            <w:tab/>
          </w:r>
          <w:r>
            <w:fldChar w:fldCharType="begin"/>
          </w:r>
          <w:r>
            <w:instrText xml:space="preserve"> PAGEREF _Toc5571 \h </w:instrText>
          </w:r>
          <w:r>
            <w:fldChar w:fldCharType="separate"/>
          </w:r>
          <w:r>
            <w:t>10</w:t>
          </w:r>
          <w:r>
            <w:fldChar w:fldCharType="end"/>
          </w:r>
          <w:r>
            <w:fldChar w:fldCharType="end"/>
          </w:r>
        </w:p>
        <w:p w14:paraId="0AED2533">
          <w:pPr>
            <w:pStyle w:val="11"/>
            <w:tabs>
              <w:tab w:val="right" w:leader="dot" w:pos="8306"/>
            </w:tabs>
            <w:ind w:left="600" w:firstLine="600"/>
          </w:pPr>
          <w:r>
            <w:fldChar w:fldCharType="begin"/>
          </w:r>
          <w:r>
            <w:instrText xml:space="preserve"> HYPERLINK \l "_Toc27400" </w:instrText>
          </w:r>
          <w:r>
            <w:fldChar w:fldCharType="separate"/>
          </w:r>
          <w:r>
            <w:rPr>
              <w:rFonts w:ascii="Times New Roman" w:hAnsi="Times New Roman" w:eastAsia="方正楷体_GBK" w:cs="Times New Roman"/>
            </w:rPr>
            <w:t>（一）加强绩效目标编制</w:t>
          </w:r>
          <w:r>
            <w:tab/>
          </w:r>
          <w:r>
            <w:fldChar w:fldCharType="begin"/>
          </w:r>
          <w:r>
            <w:instrText xml:space="preserve"> PAGEREF _Toc27400 \h </w:instrText>
          </w:r>
          <w:r>
            <w:fldChar w:fldCharType="separate"/>
          </w:r>
          <w:r>
            <w:t>10</w:t>
          </w:r>
          <w:r>
            <w:fldChar w:fldCharType="end"/>
          </w:r>
          <w:r>
            <w:fldChar w:fldCharType="end"/>
          </w:r>
        </w:p>
        <w:p w14:paraId="5EAE0847">
          <w:pPr>
            <w:pStyle w:val="11"/>
            <w:tabs>
              <w:tab w:val="right" w:leader="dot" w:pos="8306"/>
            </w:tabs>
            <w:ind w:left="600" w:firstLine="600"/>
          </w:pPr>
          <w:r>
            <w:fldChar w:fldCharType="begin"/>
          </w:r>
          <w:r>
            <w:instrText xml:space="preserve"> HYPERLINK \l "_Toc11675" </w:instrText>
          </w:r>
          <w:r>
            <w:fldChar w:fldCharType="separate"/>
          </w:r>
          <w:r>
            <w:rPr>
              <w:rFonts w:ascii="Times New Roman" w:hAnsi="Times New Roman" w:eastAsia="方正楷体_GBK" w:cs="Times New Roman"/>
            </w:rPr>
            <w:t>（二）强化专项资金监管</w:t>
          </w:r>
          <w:r>
            <w:tab/>
          </w:r>
          <w:r>
            <w:fldChar w:fldCharType="begin"/>
          </w:r>
          <w:r>
            <w:instrText xml:space="preserve"> PAGEREF _Toc11675 \h </w:instrText>
          </w:r>
          <w:r>
            <w:fldChar w:fldCharType="separate"/>
          </w:r>
          <w:r>
            <w:t>10</w:t>
          </w:r>
          <w:r>
            <w:fldChar w:fldCharType="end"/>
          </w:r>
          <w:r>
            <w:fldChar w:fldCharType="end"/>
          </w:r>
        </w:p>
        <w:p w14:paraId="632B85B4">
          <w:pPr>
            <w:pStyle w:val="10"/>
            <w:tabs>
              <w:tab w:val="right" w:leader="dot" w:pos="8306"/>
            </w:tabs>
            <w:ind w:firstLine="600"/>
          </w:pPr>
          <w:r>
            <w:fldChar w:fldCharType="begin"/>
          </w:r>
          <w:r>
            <w:instrText xml:space="preserve"> HYPERLINK \l "_Toc13931" </w:instrText>
          </w:r>
          <w:r>
            <w:fldChar w:fldCharType="separate"/>
          </w:r>
          <w:r>
            <w:rPr>
              <w:rFonts w:ascii="Times New Roman" w:hAnsi="Times New Roman" w:eastAsia="黑体" w:cs="Times New Roman"/>
              <w:szCs w:val="32"/>
            </w:rPr>
            <w:t>六、评价工作开展情况及其他需说明的情况</w:t>
          </w:r>
          <w:r>
            <w:tab/>
          </w:r>
          <w:r>
            <w:fldChar w:fldCharType="begin"/>
          </w:r>
          <w:r>
            <w:instrText xml:space="preserve"> PAGEREF _Toc13931 \h </w:instrText>
          </w:r>
          <w:r>
            <w:fldChar w:fldCharType="separate"/>
          </w:r>
          <w:r>
            <w:t>11</w:t>
          </w:r>
          <w:r>
            <w:fldChar w:fldCharType="end"/>
          </w:r>
          <w:r>
            <w:fldChar w:fldCharType="end"/>
          </w:r>
        </w:p>
        <w:p w14:paraId="1BEDB5CB">
          <w:pPr>
            <w:pStyle w:val="11"/>
            <w:tabs>
              <w:tab w:val="right" w:leader="dot" w:pos="8306"/>
            </w:tabs>
            <w:ind w:left="600" w:firstLine="600"/>
          </w:pPr>
          <w:r>
            <w:fldChar w:fldCharType="begin"/>
          </w:r>
          <w:r>
            <w:instrText xml:space="preserve"> HYPERLINK \l "_Toc9039" </w:instrText>
          </w:r>
          <w:r>
            <w:fldChar w:fldCharType="separate"/>
          </w:r>
          <w:r>
            <w:rPr>
              <w:rFonts w:ascii="Times New Roman" w:hAnsi="Times New Roman" w:eastAsia="黑体" w:cs="Times New Roman"/>
              <w:szCs w:val="28"/>
            </w:rPr>
            <w:t>附件</w:t>
          </w:r>
          <w:r>
            <w:tab/>
          </w:r>
          <w:r>
            <w:fldChar w:fldCharType="begin"/>
          </w:r>
          <w:r>
            <w:instrText xml:space="preserve"> PAGEREF _Toc9039 \h </w:instrText>
          </w:r>
          <w:r>
            <w:fldChar w:fldCharType="separate"/>
          </w:r>
          <w:r>
            <w:t>12</w:t>
          </w:r>
          <w:r>
            <w:fldChar w:fldCharType="end"/>
          </w:r>
          <w:r>
            <w:fldChar w:fldCharType="end"/>
          </w:r>
        </w:p>
        <w:p w14:paraId="7259383E">
          <w:pPr>
            <w:ind w:firstLine="600"/>
            <w:rPr>
              <w:rFonts w:ascii="Times New Roman" w:hAnsi="Times New Roman" w:cs="Times New Roman"/>
            </w:rPr>
          </w:pPr>
          <w:r>
            <w:rPr>
              <w:rFonts w:ascii="Times New Roman" w:hAnsi="Times New Roman" w:cs="Times New Roman"/>
            </w:rPr>
            <w:fldChar w:fldCharType="end"/>
          </w:r>
        </w:p>
      </w:sdtContent>
    </w:sdt>
    <w:p w14:paraId="5858627C">
      <w:pPr>
        <w:spacing w:beforeLines="50" w:afterLines="50" w:line="560" w:lineRule="exact"/>
        <w:ind w:firstLine="0" w:firstLineChars="0"/>
        <w:jc w:val="center"/>
        <w:rPr>
          <w:rFonts w:ascii="Times New Roman" w:hAnsi="Times New Roman" w:eastAsia="方正小标宋_GBK" w:cs="Times New Roman"/>
          <w:bCs/>
          <w:sz w:val="44"/>
          <w:szCs w:val="44"/>
        </w:rPr>
        <w:sectPr>
          <w:pgSz w:w="11906" w:h="16838"/>
          <w:pgMar w:top="1440" w:right="1800" w:bottom="1440" w:left="1800" w:header="851" w:footer="992" w:gutter="0"/>
          <w:cols w:space="425" w:num="1"/>
          <w:docGrid w:type="lines" w:linePitch="312" w:charSpace="0"/>
        </w:sectPr>
      </w:pPr>
    </w:p>
    <w:p w14:paraId="377C0DF1">
      <w:pPr>
        <w:jc w:val="center"/>
        <w:rPr>
          <w:rFonts w:hint="eastAsia" w:ascii="Times New Roman" w:hAnsi="Times New Roman" w:eastAsia="方正小标宋_GBK" w:cs="Times New Roman"/>
          <w:bCs/>
          <w:sz w:val="44"/>
          <w:szCs w:val="44"/>
        </w:rPr>
      </w:pPr>
    </w:p>
    <w:p w14:paraId="7C3E41E3">
      <w:pPr>
        <w:ind w:firstLine="1760" w:firstLineChars="400"/>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南京市发展和改革委员会</w:t>
      </w:r>
    </w:p>
    <w:p w14:paraId="5124F7A6">
      <w:pPr>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2024年度部门整体支出绩效自评报告</w:t>
      </w:r>
    </w:p>
    <w:p w14:paraId="53467381">
      <w:pPr>
        <w:ind w:firstLine="640"/>
        <w:rPr>
          <w:rFonts w:ascii="Times New Roman" w:hAnsi="Times New Roman" w:cs="Times New Roman"/>
          <w:sz w:val="32"/>
          <w:szCs w:val="32"/>
        </w:rPr>
      </w:pPr>
    </w:p>
    <w:p w14:paraId="42F21B76">
      <w:pPr>
        <w:ind w:firstLine="640"/>
        <w:rPr>
          <w:rFonts w:ascii="Times New Roman" w:hAnsi="Times New Roman" w:cs="Times New Roman"/>
          <w:sz w:val="32"/>
          <w:szCs w:val="32"/>
        </w:rPr>
      </w:pPr>
      <w:r>
        <w:rPr>
          <w:rFonts w:ascii="Times New Roman" w:hAnsi="Times New Roman" w:cs="Times New Roman"/>
          <w:sz w:val="32"/>
          <w:szCs w:val="32"/>
        </w:rPr>
        <w:t>为加强公共财政预算绩效管理，提高财政资金使用效能，推进提高南京市发展和改革委员会（以下简称“市发改委”）整体预算绩效管理水平，根据《南京市市级预算绩效管理办法》（宁委办厅字〔2024〕2号），市发改委对本级财政收支情况及履职效能等进行了自我评价。现将自评价情况报告如下：</w:t>
      </w:r>
    </w:p>
    <w:p w14:paraId="5A082268">
      <w:pPr>
        <w:pStyle w:val="2"/>
        <w:ind w:firstLine="640"/>
        <w:rPr>
          <w:rFonts w:ascii="Times New Roman" w:hAnsi="Times New Roman" w:eastAsia="方正楷体_GBK" w:cs="Times New Roman"/>
          <w:szCs w:val="32"/>
        </w:rPr>
      </w:pPr>
      <w:bookmarkStart w:id="0" w:name="_Toc24627"/>
      <w:bookmarkStart w:id="1" w:name="_Toc27862"/>
      <w:bookmarkStart w:id="2" w:name="_Toc19964"/>
      <w:bookmarkStart w:id="3" w:name="_Toc29619"/>
      <w:bookmarkStart w:id="4" w:name="_Toc28636"/>
      <w:bookmarkStart w:id="5" w:name="_Toc28886"/>
      <w:bookmarkStart w:id="6" w:name="_Toc31359"/>
      <w:bookmarkStart w:id="7" w:name="_Toc169773111"/>
      <w:bookmarkStart w:id="8" w:name="_Toc6695"/>
      <w:bookmarkStart w:id="9" w:name="_Toc170474481"/>
      <w:bookmarkStart w:id="10" w:name="_Toc170474480"/>
      <w:bookmarkStart w:id="11" w:name="_Toc15102"/>
      <w:bookmarkStart w:id="12" w:name="_Toc3987"/>
      <w:bookmarkStart w:id="13" w:name="_Toc28915"/>
      <w:bookmarkStart w:id="14" w:name="_Toc18842"/>
      <w:bookmarkStart w:id="15" w:name="_Toc28335"/>
      <w:bookmarkStart w:id="16" w:name="_Toc15957"/>
      <w:bookmarkStart w:id="17" w:name="_Toc32020"/>
      <w:bookmarkStart w:id="18" w:name="_Toc169773110"/>
      <w:r>
        <w:rPr>
          <w:rFonts w:ascii="Times New Roman" w:hAnsi="Times New Roman" w:cs="Times New Roman"/>
          <w:szCs w:val="32"/>
        </w:rPr>
        <w:t>一、部门概况</w:t>
      </w:r>
      <w:bookmarkEnd w:id="0"/>
    </w:p>
    <w:p w14:paraId="4AF1348A">
      <w:pPr>
        <w:pStyle w:val="3"/>
        <w:spacing w:line="520" w:lineRule="exact"/>
        <w:ind w:firstLine="640"/>
        <w:rPr>
          <w:rFonts w:ascii="Times New Roman" w:hAnsi="Times New Roman" w:eastAsia="方正楷体_GBK" w:cs="Times New Roman"/>
        </w:rPr>
      </w:pPr>
      <w:bookmarkStart w:id="19" w:name="_Toc14823"/>
      <w:r>
        <w:rPr>
          <w:rFonts w:ascii="Times New Roman" w:hAnsi="Times New Roman" w:eastAsia="方正楷体_GBK" w:cs="Times New Roman"/>
        </w:rPr>
        <w:t>（一）部门</w:t>
      </w:r>
      <w:bookmarkEnd w:id="1"/>
      <w:bookmarkEnd w:id="2"/>
      <w:bookmarkEnd w:id="3"/>
      <w:bookmarkEnd w:id="4"/>
      <w:bookmarkEnd w:id="5"/>
      <w:bookmarkEnd w:id="6"/>
      <w:r>
        <w:rPr>
          <w:rFonts w:ascii="Times New Roman" w:hAnsi="Times New Roman" w:eastAsia="方正楷体_GBK" w:cs="Times New Roman"/>
        </w:rPr>
        <w:t>基本情况</w:t>
      </w:r>
      <w:bookmarkEnd w:id="7"/>
      <w:bookmarkEnd w:id="8"/>
      <w:bookmarkEnd w:id="9"/>
      <w:bookmarkEnd w:id="19"/>
    </w:p>
    <w:p w14:paraId="4EED9A3D">
      <w:pPr>
        <w:ind w:firstLine="640"/>
        <w:rPr>
          <w:rFonts w:ascii="Times New Roman" w:hAnsi="Times New Roman" w:cs="Times New Roman"/>
          <w:sz w:val="32"/>
          <w:szCs w:val="32"/>
        </w:rPr>
      </w:pPr>
      <w:r>
        <w:rPr>
          <w:rFonts w:ascii="Times New Roman" w:hAnsi="Times New Roman" w:cs="Times New Roman"/>
          <w:sz w:val="32"/>
          <w:szCs w:val="32"/>
        </w:rPr>
        <w:t>根据《中共中央关于深化党和国家机构改革的决定》《中共江苏省委关于市县机构改革的总体意见》（苏发〔2018〕32号）和《中共江苏省委办公厅江苏省政府办公厅关于印发〈南京市机构改革方案〉的通知》（苏办〔2019〕1号），转隶组建南京市发展和改革委员会，为正局级政府工作部门，加挂南京市粮食和物资储备局牌子。</w:t>
      </w:r>
    </w:p>
    <w:p w14:paraId="5491D6DA">
      <w:pPr>
        <w:pStyle w:val="4"/>
        <w:ind w:firstLine="640"/>
        <w:rPr>
          <w:rFonts w:ascii="Times New Roman" w:hAnsi="Times New Roman" w:eastAsia="方正仿宋_GBK" w:cs="Times New Roman"/>
        </w:rPr>
      </w:pPr>
      <w:bookmarkStart w:id="20" w:name="_Toc170474482"/>
      <w:bookmarkStart w:id="21" w:name="_Toc169774637"/>
      <w:bookmarkStart w:id="22" w:name="_Toc170302015"/>
      <w:r>
        <w:rPr>
          <w:rFonts w:ascii="Times New Roman" w:hAnsi="Times New Roman" w:eastAsia="方正仿宋_GBK" w:cs="Times New Roman"/>
        </w:rPr>
        <w:t>1．职能定位</w:t>
      </w:r>
      <w:bookmarkEnd w:id="20"/>
      <w:bookmarkEnd w:id="21"/>
      <w:bookmarkEnd w:id="22"/>
    </w:p>
    <w:p w14:paraId="6C7393AA">
      <w:pPr>
        <w:ind w:firstLine="640"/>
        <w:rPr>
          <w:rFonts w:ascii="Times New Roman" w:hAnsi="Times New Roman" w:cs="Times New Roman"/>
          <w:sz w:val="32"/>
          <w:szCs w:val="32"/>
        </w:rPr>
      </w:pPr>
      <w:r>
        <w:rPr>
          <w:rFonts w:ascii="Times New Roman" w:hAnsi="Times New Roman" w:cs="Times New Roman"/>
          <w:sz w:val="32"/>
          <w:szCs w:val="32"/>
        </w:rPr>
        <w:t>根据有关三定文件，市发改委负责贯彻落实党中央关于发展改革工作的方针政策和省委、市委的决策部署，在履行职责过程中坚持和加强党对发展改革工作的集中统一领导，主要包括：拟订实施国民经济和社会发展战略、中长期规划和年度计划；提出加快建设全市现代化经济体系、推动高质量发展的总体目标、重大任务以及相关政策、评估督导，提出调整建议；提出全市国民经济和社会发展主要目标，监测宏观经济和社会发展趋势；指导推进和综合协调全市经济体制改革、供给侧结构性改革等17项职责。</w:t>
      </w:r>
    </w:p>
    <w:p w14:paraId="0A6D2FF9">
      <w:pPr>
        <w:pStyle w:val="4"/>
        <w:ind w:firstLine="640"/>
        <w:rPr>
          <w:rFonts w:ascii="Times New Roman" w:hAnsi="Times New Roman" w:eastAsia="方正仿宋_GBK" w:cs="Times New Roman"/>
        </w:rPr>
      </w:pPr>
      <w:bookmarkStart w:id="23" w:name="_Toc170302016"/>
      <w:bookmarkStart w:id="24" w:name="_Toc170474483"/>
      <w:bookmarkStart w:id="25" w:name="_Toc169774638"/>
      <w:r>
        <w:rPr>
          <w:rFonts w:ascii="Times New Roman" w:hAnsi="Times New Roman" w:eastAsia="方正仿宋_GBK" w:cs="Times New Roman"/>
        </w:rPr>
        <w:t>2．内设机构</w:t>
      </w:r>
      <w:bookmarkEnd w:id="23"/>
      <w:bookmarkEnd w:id="24"/>
      <w:bookmarkEnd w:id="25"/>
      <w:r>
        <w:rPr>
          <w:rFonts w:ascii="Times New Roman" w:hAnsi="Times New Roman" w:eastAsia="方正仿宋_GBK" w:cs="Times New Roman"/>
        </w:rPr>
        <w:t>及人员情况</w:t>
      </w:r>
    </w:p>
    <w:p w14:paraId="6E180921">
      <w:pPr>
        <w:ind w:firstLine="640"/>
        <w:rPr>
          <w:rFonts w:ascii="Times New Roman" w:hAnsi="Times New Roman" w:cs="Times New Roman"/>
          <w:sz w:val="32"/>
          <w:szCs w:val="32"/>
        </w:rPr>
      </w:pPr>
      <w:r>
        <w:rPr>
          <w:rFonts w:ascii="Times New Roman" w:hAnsi="Times New Roman" w:cs="Times New Roman"/>
          <w:sz w:val="32"/>
          <w:szCs w:val="32"/>
        </w:rPr>
        <w:t>（1）内设机构</w:t>
      </w:r>
    </w:p>
    <w:p w14:paraId="2B539FD9">
      <w:pPr>
        <w:ind w:firstLine="640"/>
        <w:rPr>
          <w:rFonts w:ascii="Times New Roman" w:hAnsi="Times New Roman" w:cs="Times New Roman"/>
          <w:sz w:val="32"/>
          <w:szCs w:val="32"/>
        </w:rPr>
      </w:pPr>
      <w:r>
        <w:rPr>
          <w:rFonts w:ascii="Times New Roman" w:hAnsi="Times New Roman" w:cs="Times New Roman"/>
          <w:sz w:val="32"/>
          <w:szCs w:val="32"/>
        </w:rPr>
        <w:t>市发改委本级由发展战略和规划处、国民经济综合处、经济体制改革处、固定资产投资处等33个处室组成，另设机关党委、离退休干部处。</w:t>
      </w:r>
    </w:p>
    <w:p w14:paraId="3ABAEDD2">
      <w:pPr>
        <w:ind w:firstLine="640"/>
        <w:rPr>
          <w:rFonts w:ascii="Times New Roman" w:hAnsi="Times New Roman" w:cs="Times New Roman"/>
          <w:sz w:val="32"/>
          <w:szCs w:val="32"/>
        </w:rPr>
      </w:pPr>
      <w:r>
        <w:rPr>
          <w:rFonts w:ascii="Times New Roman" w:hAnsi="Times New Roman" w:cs="Times New Roman"/>
          <w:sz w:val="32"/>
          <w:szCs w:val="32"/>
        </w:rPr>
        <w:t>（2）人员编配</w:t>
      </w:r>
    </w:p>
    <w:p w14:paraId="4CF40D78">
      <w:pPr>
        <w:ind w:firstLine="640"/>
        <w:rPr>
          <w:rFonts w:ascii="Times New Roman" w:hAnsi="Times New Roman" w:cs="Times New Roman"/>
          <w:sz w:val="32"/>
          <w:szCs w:val="32"/>
        </w:rPr>
      </w:pPr>
      <w:r>
        <w:rPr>
          <w:rFonts w:ascii="Times New Roman" w:hAnsi="Times New Roman" w:cs="Times New Roman"/>
          <w:sz w:val="32"/>
          <w:szCs w:val="32"/>
        </w:rPr>
        <w:t>南京市发改委（本级）人员核定行政编制218人，行政附属编制6人。截至2024年底，实际在职机关行政人员202人，行政附属人员6人，离退休人员186人。</w:t>
      </w:r>
    </w:p>
    <w:bookmarkEnd w:id="10"/>
    <w:bookmarkEnd w:id="11"/>
    <w:bookmarkEnd w:id="12"/>
    <w:bookmarkEnd w:id="13"/>
    <w:bookmarkEnd w:id="14"/>
    <w:bookmarkEnd w:id="15"/>
    <w:bookmarkEnd w:id="16"/>
    <w:bookmarkEnd w:id="17"/>
    <w:bookmarkEnd w:id="18"/>
    <w:p w14:paraId="154315E5">
      <w:pPr>
        <w:pStyle w:val="4"/>
        <w:ind w:firstLine="640"/>
        <w:rPr>
          <w:rFonts w:ascii="Times New Roman" w:hAnsi="Times New Roman" w:eastAsia="方正仿宋_GBK" w:cs="Times New Roman"/>
        </w:rPr>
      </w:pPr>
      <w:r>
        <w:rPr>
          <w:rFonts w:ascii="Times New Roman" w:hAnsi="Times New Roman" w:eastAsia="方正仿宋_GBK" w:cs="Times New Roman"/>
        </w:rPr>
        <w:t>3．资产情况</w:t>
      </w:r>
    </w:p>
    <w:p w14:paraId="2C734496">
      <w:pPr>
        <w:ind w:firstLine="640"/>
        <w:rPr>
          <w:rFonts w:ascii="Times New Roman" w:hAnsi="Times New Roman" w:cs="Times New Roman"/>
          <w:sz w:val="32"/>
          <w:szCs w:val="32"/>
        </w:rPr>
      </w:pPr>
      <w:r>
        <w:rPr>
          <w:rFonts w:ascii="Times New Roman" w:hAnsi="Times New Roman" w:cs="Times New Roman"/>
          <w:sz w:val="32"/>
          <w:szCs w:val="32"/>
        </w:rPr>
        <w:t>2024年南京市发改委（本级）期末主要资产指标为：货币资金为551.4万元、房屋价值为294.9万元、车辆价值为63.86万元、在建工程价值134.26万元。</w:t>
      </w:r>
    </w:p>
    <w:p w14:paraId="0B41F37F">
      <w:pPr>
        <w:pStyle w:val="4"/>
        <w:ind w:firstLine="640"/>
        <w:rPr>
          <w:rFonts w:ascii="Times New Roman" w:hAnsi="Times New Roman" w:eastAsia="方正仿宋_GBK" w:cs="Times New Roman"/>
        </w:rPr>
      </w:pPr>
      <w:r>
        <w:rPr>
          <w:rFonts w:ascii="Times New Roman" w:hAnsi="Times New Roman" w:eastAsia="方正仿宋_GBK" w:cs="Times New Roman"/>
        </w:rPr>
        <w:t>4．年度主要工作任务</w:t>
      </w:r>
    </w:p>
    <w:p w14:paraId="5E374084">
      <w:pPr>
        <w:ind w:firstLine="640"/>
        <w:rPr>
          <w:rFonts w:ascii="Times New Roman" w:hAnsi="Times New Roman" w:cs="Times New Roman"/>
          <w:sz w:val="32"/>
          <w:szCs w:val="32"/>
        </w:rPr>
      </w:pPr>
      <w:r>
        <w:rPr>
          <w:rFonts w:ascii="Times New Roman" w:hAnsi="Times New Roman" w:cs="Times New Roman"/>
          <w:sz w:val="32"/>
          <w:szCs w:val="32"/>
        </w:rPr>
        <w:t>根据南京市发改委《2023年工作总结及2024年工作计划》等有关文件，2024年度南京市发改委工作要点主要包括8个方面，具体内容见下表：</w:t>
      </w:r>
    </w:p>
    <w:p w14:paraId="5388A263">
      <w:pPr>
        <w:pStyle w:val="6"/>
        <w:spacing w:line="240" w:lineRule="auto"/>
        <w:ind w:left="0" w:leftChars="0" w:firstLine="0" w:firstLineChars="0"/>
        <w:jc w:val="center"/>
        <w:rPr>
          <w:rFonts w:eastAsia="方正黑体_GBK"/>
          <w:szCs w:val="28"/>
        </w:rPr>
      </w:pPr>
      <w:r>
        <w:rPr>
          <w:rFonts w:eastAsia="方正黑体_GBK"/>
          <w:szCs w:val="28"/>
        </w:rPr>
        <w:t>表1  2024年度南京市发改委主要工作内容一览表</w:t>
      </w:r>
    </w:p>
    <w:tbl>
      <w:tblPr>
        <w:tblStyle w:val="12"/>
        <w:tblW w:w="5000" w:type="pct"/>
        <w:tblInd w:w="0" w:type="dxa"/>
        <w:tblLayout w:type="fixed"/>
        <w:tblCellMar>
          <w:top w:w="0" w:type="dxa"/>
          <w:left w:w="108" w:type="dxa"/>
          <w:bottom w:w="0" w:type="dxa"/>
          <w:right w:w="108" w:type="dxa"/>
        </w:tblCellMar>
      </w:tblPr>
      <w:tblGrid>
        <w:gridCol w:w="641"/>
        <w:gridCol w:w="1839"/>
        <w:gridCol w:w="6042"/>
      </w:tblGrid>
      <w:tr w14:paraId="0757D6CC">
        <w:tblPrEx>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FC03">
            <w:pPr>
              <w:widowControl/>
              <w:spacing w:line="240" w:lineRule="auto"/>
              <w:ind w:firstLine="0" w:firstLineChars="0"/>
              <w:jc w:val="center"/>
              <w:textAlignment w:val="center"/>
              <w:rPr>
                <w:rFonts w:ascii="Times New Roman" w:hAnsi="Times New Roman" w:eastAsia="方正黑体_GBK" w:cs="Times New Roman"/>
                <w:color w:val="000000"/>
                <w:sz w:val="21"/>
                <w:szCs w:val="21"/>
              </w:rPr>
            </w:pPr>
            <w:r>
              <w:rPr>
                <w:rFonts w:ascii="Times New Roman" w:hAnsi="Times New Roman" w:eastAsia="方正黑体_GBK" w:cs="Times New Roman"/>
                <w:color w:val="000000"/>
                <w:kern w:val="0"/>
                <w:sz w:val="21"/>
                <w:szCs w:val="21"/>
              </w:rPr>
              <w:t>序号</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9761">
            <w:pPr>
              <w:widowControl/>
              <w:spacing w:line="240" w:lineRule="auto"/>
              <w:ind w:firstLine="0" w:firstLineChars="0"/>
              <w:jc w:val="center"/>
              <w:textAlignment w:val="center"/>
              <w:rPr>
                <w:rFonts w:ascii="Times New Roman" w:hAnsi="Times New Roman" w:eastAsia="方正黑体_GBK" w:cs="Times New Roman"/>
                <w:color w:val="000000"/>
                <w:sz w:val="21"/>
                <w:szCs w:val="21"/>
              </w:rPr>
            </w:pPr>
            <w:r>
              <w:rPr>
                <w:rFonts w:ascii="Times New Roman" w:hAnsi="Times New Roman" w:eastAsia="方正黑体_GBK" w:cs="Times New Roman"/>
                <w:color w:val="000000"/>
                <w:kern w:val="0"/>
                <w:sz w:val="21"/>
                <w:szCs w:val="21"/>
              </w:rPr>
              <w:t>要点</w:t>
            </w:r>
          </w:p>
        </w:tc>
        <w:tc>
          <w:tcPr>
            <w:tcW w:w="3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54BF">
            <w:pPr>
              <w:widowControl/>
              <w:spacing w:line="240" w:lineRule="auto"/>
              <w:ind w:firstLine="0" w:firstLineChars="0"/>
              <w:jc w:val="center"/>
              <w:textAlignment w:val="center"/>
              <w:rPr>
                <w:rFonts w:ascii="Times New Roman" w:hAnsi="Times New Roman" w:eastAsia="方正黑体_GBK" w:cs="Times New Roman"/>
                <w:color w:val="000000"/>
                <w:sz w:val="21"/>
                <w:szCs w:val="21"/>
              </w:rPr>
            </w:pPr>
            <w:r>
              <w:rPr>
                <w:rFonts w:ascii="Times New Roman" w:hAnsi="Times New Roman" w:eastAsia="方正黑体_GBK" w:cs="Times New Roman"/>
                <w:color w:val="000000"/>
                <w:kern w:val="0"/>
                <w:sz w:val="21"/>
                <w:szCs w:val="21"/>
              </w:rPr>
              <w:t>内容</w:t>
            </w:r>
          </w:p>
        </w:tc>
      </w:tr>
      <w:tr w14:paraId="0014B035">
        <w:tblPrEx>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8694">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E0F1">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统筹发展改革工作</w:t>
            </w:r>
          </w:p>
        </w:tc>
        <w:tc>
          <w:tcPr>
            <w:tcW w:w="3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6FA8">
            <w:pPr>
              <w:widowControl/>
              <w:spacing w:line="240" w:lineRule="auto"/>
              <w:ind w:firstLine="0" w:firstLineChars="0"/>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研究储备重大政策，开展</w:t>
            </w:r>
            <w:r>
              <w:rPr>
                <w:rStyle w:val="15"/>
                <w:sz w:val="21"/>
                <w:szCs w:val="21"/>
              </w:rPr>
              <w:t>“</w:t>
            </w:r>
            <w:r>
              <w:rPr>
                <w:rStyle w:val="16"/>
                <w:rFonts w:hint="default" w:ascii="Times New Roman" w:hAnsi="Times New Roman" w:cs="Times New Roman"/>
                <w:sz w:val="21"/>
                <w:szCs w:val="21"/>
              </w:rPr>
              <w:t>十五五</w:t>
            </w:r>
            <w:r>
              <w:rPr>
                <w:rStyle w:val="15"/>
                <w:sz w:val="21"/>
                <w:szCs w:val="21"/>
              </w:rPr>
              <w:t>”</w:t>
            </w:r>
            <w:r>
              <w:rPr>
                <w:rStyle w:val="16"/>
                <w:rFonts w:hint="default" w:ascii="Times New Roman" w:hAnsi="Times New Roman" w:cs="Times New Roman"/>
                <w:sz w:val="21"/>
                <w:szCs w:val="21"/>
              </w:rPr>
              <w:t>规划及高质量发展等课题研究，强化经济运行感知；落实</w:t>
            </w:r>
            <w:r>
              <w:rPr>
                <w:rStyle w:val="15"/>
                <w:sz w:val="21"/>
                <w:szCs w:val="21"/>
              </w:rPr>
              <w:t>“</w:t>
            </w:r>
            <w:r>
              <w:rPr>
                <w:rStyle w:val="16"/>
                <w:rFonts w:hint="default" w:ascii="Times New Roman" w:hAnsi="Times New Roman" w:cs="Times New Roman"/>
                <w:sz w:val="21"/>
                <w:szCs w:val="21"/>
              </w:rPr>
              <w:t>一带一路</w:t>
            </w:r>
            <w:r>
              <w:rPr>
                <w:rStyle w:val="15"/>
                <w:sz w:val="21"/>
                <w:szCs w:val="21"/>
              </w:rPr>
              <w:t>”</w:t>
            </w:r>
            <w:r>
              <w:rPr>
                <w:rStyle w:val="16"/>
                <w:rFonts w:hint="default" w:ascii="Times New Roman" w:hAnsi="Times New Roman" w:cs="Times New Roman"/>
                <w:sz w:val="21"/>
                <w:szCs w:val="21"/>
              </w:rPr>
              <w:t>等重大战略，履行都市圈办公室等职能；统筹发展与安全，培育内需体系、防控外债风险，保障能源供应，防范项目风险。</w:t>
            </w:r>
          </w:p>
        </w:tc>
      </w:tr>
      <w:tr w14:paraId="610503A3">
        <w:tblPrEx>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5397">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2</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7346">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培育新质生产力</w:t>
            </w:r>
          </w:p>
        </w:tc>
        <w:tc>
          <w:tcPr>
            <w:tcW w:w="3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A737">
            <w:pPr>
              <w:widowControl/>
              <w:spacing w:line="240" w:lineRule="auto"/>
              <w:ind w:firstLine="0" w:firstLineChars="0"/>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拓展传统产业空间，推动石化钢铁项目升级，实施服务业赋能；塑造新质生产力优势，推进科技基础设施建设，发展战略性新兴产业；壮大特色产业，提升枢纽层级，发展总部经济、绿色经济等新业态。</w:t>
            </w:r>
          </w:p>
        </w:tc>
      </w:tr>
      <w:tr w14:paraId="416B5A6B">
        <w:tblPrEx>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D592">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3</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0096">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扩大投资需求</w:t>
            </w:r>
          </w:p>
        </w:tc>
        <w:tc>
          <w:tcPr>
            <w:tcW w:w="3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D8A5">
            <w:pPr>
              <w:widowControl/>
              <w:spacing w:line="240" w:lineRule="auto"/>
              <w:ind w:firstLine="0" w:firstLineChars="0"/>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聚焦项目强化建设与招引，衔接</w:t>
            </w:r>
            <w:r>
              <w:rPr>
                <w:rStyle w:val="15"/>
                <w:sz w:val="21"/>
                <w:szCs w:val="21"/>
              </w:rPr>
              <w:t>“</w:t>
            </w:r>
            <w:r>
              <w:rPr>
                <w:rStyle w:val="16"/>
                <w:rFonts w:hint="default" w:ascii="Times New Roman" w:hAnsi="Times New Roman" w:cs="Times New Roman"/>
                <w:sz w:val="21"/>
                <w:szCs w:val="21"/>
              </w:rPr>
              <w:t>三大工程</w:t>
            </w:r>
            <w:r>
              <w:rPr>
                <w:rStyle w:val="15"/>
                <w:sz w:val="21"/>
                <w:szCs w:val="21"/>
              </w:rPr>
              <w:t>”</w:t>
            </w:r>
            <w:r>
              <w:rPr>
                <w:rStyle w:val="16"/>
                <w:rFonts w:hint="default" w:ascii="Times New Roman" w:hAnsi="Times New Roman" w:cs="Times New Roman"/>
                <w:sz w:val="21"/>
                <w:szCs w:val="21"/>
              </w:rPr>
              <w:t>政策，推动</w:t>
            </w:r>
            <w:r>
              <w:rPr>
                <w:rStyle w:val="15"/>
                <w:sz w:val="21"/>
                <w:szCs w:val="21"/>
              </w:rPr>
              <w:t>REITs</w:t>
            </w:r>
            <w:r>
              <w:rPr>
                <w:rStyle w:val="16"/>
                <w:rFonts w:hint="default" w:ascii="Times New Roman" w:hAnsi="Times New Roman" w:cs="Times New Roman"/>
                <w:sz w:val="21"/>
                <w:szCs w:val="21"/>
              </w:rPr>
              <w:t>试点和民间投资；激发消费，稳定传统消费、培育新型消费；发挥政府投资带动效应，完善投融资机制，强化金融服务。</w:t>
            </w:r>
          </w:p>
        </w:tc>
      </w:tr>
      <w:tr w14:paraId="5850D5B1">
        <w:tblPrEx>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F985">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4</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5170">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推动融合协调</w:t>
            </w:r>
          </w:p>
        </w:tc>
        <w:tc>
          <w:tcPr>
            <w:tcW w:w="3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4BD7">
            <w:pPr>
              <w:widowControl/>
              <w:spacing w:line="240" w:lineRule="auto"/>
              <w:ind w:firstLine="0" w:firstLineChars="0"/>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促进跨界区域融合，深化长三角及都市圈合作，编制年度要点，推进宁滁等结对帮扶；推动农业农村发展，编制乡村振兴规划，深化农村基建管护改革；深化对口支援，通过产业合作等提升协作地区动力。</w:t>
            </w:r>
          </w:p>
        </w:tc>
      </w:tr>
      <w:tr w14:paraId="681C6DCE">
        <w:tblPrEx>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B0A9">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5</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1A70">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推进绿色低碳</w:t>
            </w:r>
          </w:p>
        </w:tc>
        <w:tc>
          <w:tcPr>
            <w:tcW w:w="3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8315">
            <w:pPr>
              <w:widowControl/>
              <w:spacing w:line="240" w:lineRule="auto"/>
              <w:ind w:firstLine="0" w:firstLineChars="0"/>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推进长江经济带发展，落实专项规划，推进污染治理，谋划长江国家文化公园建设；落实</w:t>
            </w:r>
            <w:r>
              <w:rPr>
                <w:rStyle w:val="15"/>
                <w:sz w:val="21"/>
                <w:szCs w:val="21"/>
              </w:rPr>
              <w:t>“</w:t>
            </w:r>
            <w:r>
              <w:rPr>
                <w:rStyle w:val="16"/>
                <w:rFonts w:hint="default" w:ascii="Times New Roman" w:hAnsi="Times New Roman" w:cs="Times New Roman"/>
                <w:sz w:val="21"/>
                <w:szCs w:val="21"/>
              </w:rPr>
              <w:t>双碳</w:t>
            </w:r>
            <w:r>
              <w:rPr>
                <w:rStyle w:val="15"/>
                <w:sz w:val="21"/>
                <w:szCs w:val="21"/>
              </w:rPr>
              <w:t>”</w:t>
            </w:r>
            <w:r>
              <w:rPr>
                <w:rStyle w:val="16"/>
                <w:rFonts w:hint="default" w:ascii="Times New Roman" w:hAnsi="Times New Roman" w:cs="Times New Roman"/>
                <w:sz w:val="21"/>
                <w:szCs w:val="21"/>
              </w:rPr>
              <w:t>任务，完善政策体系，申报试点，严控</w:t>
            </w:r>
            <w:r>
              <w:rPr>
                <w:rStyle w:val="15"/>
                <w:sz w:val="21"/>
                <w:szCs w:val="21"/>
              </w:rPr>
              <w:t>“</w:t>
            </w:r>
            <w:r>
              <w:rPr>
                <w:rStyle w:val="16"/>
                <w:rFonts w:hint="default" w:ascii="Times New Roman" w:hAnsi="Times New Roman" w:cs="Times New Roman"/>
                <w:sz w:val="21"/>
                <w:szCs w:val="21"/>
              </w:rPr>
              <w:t>两高一低</w:t>
            </w:r>
            <w:r>
              <w:rPr>
                <w:rStyle w:val="15"/>
                <w:sz w:val="21"/>
                <w:szCs w:val="21"/>
              </w:rPr>
              <w:t>”</w:t>
            </w:r>
            <w:r>
              <w:rPr>
                <w:rStyle w:val="16"/>
                <w:rFonts w:hint="default" w:ascii="Times New Roman" w:hAnsi="Times New Roman" w:cs="Times New Roman"/>
                <w:sz w:val="21"/>
                <w:szCs w:val="21"/>
              </w:rPr>
              <w:t>项目；推动企业低碳转型，壮大绿色循环经济，推进废旧物资利用。</w:t>
            </w:r>
          </w:p>
        </w:tc>
      </w:tr>
      <w:tr w14:paraId="095D8A64">
        <w:tblPrEx>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220B">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6</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7CFB">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深化改革开放</w:t>
            </w:r>
          </w:p>
        </w:tc>
        <w:tc>
          <w:tcPr>
            <w:tcW w:w="3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31CA">
            <w:pPr>
              <w:widowControl/>
              <w:spacing w:line="240" w:lineRule="auto"/>
              <w:ind w:firstLine="0" w:firstLineChars="0"/>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打造</w:t>
            </w:r>
            <w:r>
              <w:rPr>
                <w:rStyle w:val="15"/>
                <w:sz w:val="21"/>
                <w:szCs w:val="21"/>
              </w:rPr>
              <w:t>“</w:t>
            </w:r>
            <w:r>
              <w:rPr>
                <w:rStyle w:val="16"/>
                <w:rFonts w:hint="default" w:ascii="Times New Roman" w:hAnsi="Times New Roman" w:cs="Times New Roman"/>
                <w:sz w:val="21"/>
                <w:szCs w:val="21"/>
              </w:rPr>
              <w:t>一带一路</w:t>
            </w:r>
            <w:r>
              <w:rPr>
                <w:rStyle w:val="15"/>
                <w:sz w:val="21"/>
                <w:szCs w:val="21"/>
              </w:rPr>
              <w:t>”</w:t>
            </w:r>
            <w:r>
              <w:rPr>
                <w:rStyle w:val="16"/>
                <w:rFonts w:hint="default" w:ascii="Times New Roman" w:hAnsi="Times New Roman" w:cs="Times New Roman"/>
                <w:sz w:val="21"/>
                <w:szCs w:val="21"/>
              </w:rPr>
              <w:t>交汇点，推进中阿产能合作园建设；优化营商环境，制定政策举措，跟进国评省评；建设信用环境，推进平台建设，拓展信用监管和</w:t>
            </w:r>
            <w:r>
              <w:rPr>
                <w:rStyle w:val="15"/>
                <w:sz w:val="21"/>
                <w:szCs w:val="21"/>
              </w:rPr>
              <w:t>“</w:t>
            </w:r>
            <w:r>
              <w:rPr>
                <w:rStyle w:val="16"/>
                <w:rFonts w:hint="default" w:ascii="Times New Roman" w:hAnsi="Times New Roman" w:cs="Times New Roman"/>
                <w:sz w:val="21"/>
                <w:szCs w:val="21"/>
              </w:rPr>
              <w:t>信易</w:t>
            </w:r>
            <w:r>
              <w:rPr>
                <w:rStyle w:val="15"/>
                <w:sz w:val="21"/>
                <w:szCs w:val="21"/>
              </w:rPr>
              <w:t>+”</w:t>
            </w:r>
            <w:r>
              <w:rPr>
                <w:rStyle w:val="16"/>
                <w:rFonts w:hint="default" w:ascii="Times New Roman" w:hAnsi="Times New Roman" w:cs="Times New Roman"/>
                <w:sz w:val="21"/>
                <w:szCs w:val="21"/>
              </w:rPr>
              <w:t>场景。</w:t>
            </w:r>
          </w:p>
        </w:tc>
      </w:tr>
      <w:tr w14:paraId="1E20C83F">
        <w:tblPrEx>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2A2F">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7</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4398">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保障民生</w:t>
            </w:r>
          </w:p>
        </w:tc>
        <w:tc>
          <w:tcPr>
            <w:tcW w:w="3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B08D">
            <w:pPr>
              <w:widowControl/>
              <w:spacing w:line="240" w:lineRule="auto"/>
              <w:ind w:firstLine="0" w:firstLineChars="0"/>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编排民生实事，推进共同富裕，支持高淳、六合发展；保障能源粮食供应，抓好保供稳价；统筹化解房地产、地方债务等风险，促进房地产市场平稳。</w:t>
            </w:r>
          </w:p>
        </w:tc>
      </w:tr>
      <w:tr w14:paraId="1A0D232A">
        <w:tblPrEx>
          <w:tblCellMar>
            <w:top w:w="0" w:type="dxa"/>
            <w:left w:w="108" w:type="dxa"/>
            <w:bottom w:w="0" w:type="dxa"/>
            <w:right w:w="108" w:type="dxa"/>
          </w:tblCellMar>
        </w:tblPrEx>
        <w:trPr>
          <w:trHeight w:val="23" w:hRule="atLeast"/>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7427">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8</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C73C">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加强机关建设</w:t>
            </w:r>
          </w:p>
        </w:tc>
        <w:tc>
          <w:tcPr>
            <w:tcW w:w="3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7F07">
            <w:pPr>
              <w:widowControl/>
              <w:spacing w:line="240" w:lineRule="auto"/>
              <w:ind w:firstLine="0" w:firstLineChars="0"/>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强化政治建设，深化主题教育，推进全面从严治党；加强队伍建设，开展年轻干部培优；规范内部管理，落实意识形态责任制，做好信息化等工作。</w:t>
            </w:r>
          </w:p>
        </w:tc>
      </w:tr>
    </w:tbl>
    <w:p w14:paraId="5EE46B34">
      <w:pPr>
        <w:pStyle w:val="3"/>
        <w:spacing w:line="520" w:lineRule="exact"/>
        <w:ind w:firstLine="640"/>
        <w:rPr>
          <w:rFonts w:ascii="Times New Roman" w:hAnsi="Times New Roman" w:eastAsia="方正楷体_GBK" w:cs="Times New Roman"/>
        </w:rPr>
      </w:pPr>
      <w:bookmarkStart w:id="26" w:name="_Toc25096"/>
      <w:bookmarkStart w:id="27" w:name="_Toc17243"/>
      <w:bookmarkStart w:id="28" w:name="_Toc900"/>
      <w:bookmarkStart w:id="29" w:name="_Toc32644"/>
      <w:bookmarkStart w:id="30" w:name="_Toc25622"/>
      <w:bookmarkStart w:id="31" w:name="_Toc26415"/>
      <w:bookmarkStart w:id="32" w:name="_Toc170474486"/>
      <w:bookmarkStart w:id="33" w:name="_Toc9583"/>
      <w:bookmarkStart w:id="34" w:name="_Toc169773112"/>
      <w:r>
        <w:rPr>
          <w:rFonts w:ascii="Times New Roman" w:hAnsi="Times New Roman" w:eastAsia="方正楷体_GBK" w:cs="Times New Roman"/>
        </w:rPr>
        <w:t>（二）</w:t>
      </w:r>
      <w:bookmarkEnd w:id="26"/>
      <w:bookmarkEnd w:id="27"/>
      <w:bookmarkEnd w:id="28"/>
      <w:bookmarkEnd w:id="29"/>
      <w:bookmarkEnd w:id="30"/>
      <w:bookmarkEnd w:id="31"/>
      <w:r>
        <w:rPr>
          <w:rFonts w:ascii="Times New Roman" w:hAnsi="Times New Roman" w:eastAsia="方正楷体_GBK" w:cs="Times New Roman"/>
        </w:rPr>
        <w:t>部门收支情况</w:t>
      </w:r>
      <w:bookmarkEnd w:id="32"/>
      <w:bookmarkEnd w:id="33"/>
      <w:bookmarkEnd w:id="34"/>
    </w:p>
    <w:p w14:paraId="4F550187">
      <w:pPr>
        <w:pStyle w:val="4"/>
        <w:ind w:firstLine="640"/>
        <w:rPr>
          <w:rFonts w:ascii="Times New Roman" w:hAnsi="Times New Roman" w:eastAsia="方正仿宋_GBK" w:cs="Times New Roman"/>
        </w:rPr>
      </w:pPr>
      <w:bookmarkStart w:id="35" w:name="_Toc169774642"/>
      <w:bookmarkStart w:id="36" w:name="_Toc170302020"/>
      <w:bookmarkStart w:id="37" w:name="_Toc170474487"/>
      <w:r>
        <w:rPr>
          <w:rFonts w:ascii="Times New Roman" w:hAnsi="Times New Roman" w:eastAsia="方正仿宋_GBK" w:cs="Times New Roman"/>
        </w:rPr>
        <w:t>1．部门预算执行情况</w:t>
      </w:r>
      <w:bookmarkEnd w:id="35"/>
      <w:bookmarkEnd w:id="36"/>
      <w:bookmarkEnd w:id="37"/>
    </w:p>
    <w:p w14:paraId="4F621FE5">
      <w:pPr>
        <w:ind w:firstLine="640"/>
        <w:rPr>
          <w:rFonts w:ascii="Times New Roman" w:hAnsi="Times New Roman" w:cs="Times New Roman"/>
          <w:sz w:val="32"/>
          <w:szCs w:val="32"/>
        </w:rPr>
      </w:pPr>
      <w:r>
        <w:rPr>
          <w:rFonts w:ascii="Times New Roman" w:hAnsi="Times New Roman" w:cs="Times New Roman"/>
          <w:sz w:val="32"/>
          <w:szCs w:val="32"/>
        </w:rPr>
        <w:t>市发改委（本级）2024年度年初部门预算收入12,211.35万元，全部为一般公共预算财政拨款收入。年度决算支出12,045.59万元，其中：基本支出10,800.29万元，项目支出1,245.3万元。2024年预算执行率98.64%，年末结转结余82.86万元。</w:t>
      </w:r>
    </w:p>
    <w:p w14:paraId="3B8BC91C">
      <w:pPr>
        <w:pStyle w:val="4"/>
        <w:ind w:firstLine="640"/>
        <w:rPr>
          <w:rFonts w:ascii="Times New Roman" w:hAnsi="Times New Roman" w:eastAsia="方正仿宋_GBK" w:cs="Times New Roman"/>
        </w:rPr>
      </w:pPr>
      <w:bookmarkStart w:id="38" w:name="_Toc170302021"/>
      <w:bookmarkStart w:id="39" w:name="_Toc169774643"/>
      <w:bookmarkStart w:id="40" w:name="_Toc170474488"/>
      <w:r>
        <w:rPr>
          <w:rFonts w:ascii="Times New Roman" w:hAnsi="Times New Roman" w:eastAsia="方正仿宋_GBK" w:cs="Times New Roman"/>
        </w:rPr>
        <w:t>2．“三公”经费执行情况</w:t>
      </w:r>
      <w:bookmarkEnd w:id="38"/>
      <w:bookmarkEnd w:id="39"/>
      <w:bookmarkEnd w:id="40"/>
    </w:p>
    <w:p w14:paraId="6332524B">
      <w:pPr>
        <w:ind w:firstLine="640"/>
        <w:rPr>
          <w:rFonts w:ascii="Times New Roman" w:hAnsi="Times New Roman" w:cs="Times New Roman"/>
          <w:sz w:val="32"/>
          <w:szCs w:val="32"/>
        </w:rPr>
      </w:pPr>
      <w:r>
        <w:rPr>
          <w:rFonts w:ascii="Times New Roman" w:hAnsi="Times New Roman" w:cs="Times New Roman"/>
          <w:sz w:val="32"/>
          <w:szCs w:val="32"/>
        </w:rPr>
        <w:t>市发改委（本级）2024年度“三公”经费年初预算19.72万元，其中：公务用车购置及运行维护费9.22万元，公务接待费10.5万元。决算支出75.39万元，其中：因公出国（境）费支出61.24万元，公务用车购置及运行维护费支出9.22万元，公务接待费支出4.93万元。</w:t>
      </w:r>
    </w:p>
    <w:p w14:paraId="6165F5B4">
      <w:pPr>
        <w:pStyle w:val="3"/>
        <w:spacing w:line="520" w:lineRule="exact"/>
        <w:ind w:firstLine="640"/>
        <w:rPr>
          <w:rFonts w:ascii="Times New Roman" w:hAnsi="Times New Roman" w:eastAsia="方正楷体_GBK" w:cs="Times New Roman"/>
        </w:rPr>
      </w:pPr>
      <w:bookmarkStart w:id="41" w:name="_Toc170474490"/>
      <w:bookmarkStart w:id="42" w:name="_Toc15633"/>
      <w:bookmarkStart w:id="43" w:name="_Toc169773113"/>
      <w:bookmarkStart w:id="44" w:name="_Toc21661"/>
      <w:r>
        <w:rPr>
          <w:rFonts w:ascii="Times New Roman" w:hAnsi="Times New Roman" w:eastAsia="方正楷体_GBK" w:cs="Times New Roman"/>
        </w:rPr>
        <w:t>（三）部门绩效目标</w:t>
      </w:r>
      <w:bookmarkEnd w:id="41"/>
      <w:bookmarkEnd w:id="42"/>
      <w:bookmarkEnd w:id="43"/>
      <w:bookmarkEnd w:id="44"/>
    </w:p>
    <w:p w14:paraId="1D5AA9ED">
      <w:pPr>
        <w:pStyle w:val="4"/>
        <w:ind w:firstLine="640"/>
        <w:rPr>
          <w:rFonts w:ascii="Times New Roman" w:hAnsi="Times New Roman" w:eastAsia="方正仿宋_GBK" w:cs="Times New Roman"/>
        </w:rPr>
      </w:pPr>
      <w:bookmarkStart w:id="45" w:name="_Toc170302024"/>
      <w:bookmarkStart w:id="46" w:name="_Toc170474491"/>
      <w:bookmarkStart w:id="47" w:name="_Toc169774646"/>
      <w:r>
        <w:rPr>
          <w:rFonts w:ascii="Times New Roman" w:hAnsi="Times New Roman" w:eastAsia="方正仿宋_GBK" w:cs="Times New Roman"/>
        </w:rPr>
        <w:t>1．部门中长期目标</w:t>
      </w:r>
      <w:bookmarkEnd w:id="45"/>
      <w:bookmarkEnd w:id="46"/>
      <w:bookmarkEnd w:id="47"/>
    </w:p>
    <w:p w14:paraId="77E5D4C1">
      <w:pPr>
        <w:ind w:firstLine="640"/>
        <w:rPr>
          <w:rFonts w:ascii="Times New Roman" w:hAnsi="Times New Roman" w:cs="Times New Roman"/>
          <w:sz w:val="32"/>
          <w:szCs w:val="32"/>
        </w:rPr>
      </w:pPr>
      <w:r>
        <w:rPr>
          <w:rFonts w:ascii="Times New Roman" w:hAnsi="Times New Roman" w:cs="Times New Roman"/>
          <w:sz w:val="32"/>
          <w:szCs w:val="32"/>
        </w:rPr>
        <w:t>市发改委以习近平新时代中国特色社会主义思想为指导，全面贯彻党中央、国务院、省委、省政府决策部署和市委、市政府工作要求，统筹推进“五位一体”总体布局和协调推进“四个全面”战略布局。认真贯彻落实“一带一路”、长江经济带、长三角一体化等国家战略。推动南京都市圈建设。抓好减税降费政策落实，着力保障和改善民生，坚定不移推进供给侧结构性改革，促进经济平稳健康发展和产业转型升级，为推动高质量发展走在前列、建设“强富美高”新南京提供有力保障。</w:t>
      </w:r>
    </w:p>
    <w:p w14:paraId="40950850">
      <w:pPr>
        <w:pStyle w:val="4"/>
        <w:ind w:firstLine="640"/>
        <w:rPr>
          <w:rFonts w:ascii="Times New Roman" w:hAnsi="Times New Roman" w:eastAsia="方正仿宋_GBK" w:cs="Times New Roman"/>
        </w:rPr>
      </w:pPr>
      <w:bookmarkStart w:id="48" w:name="_Toc170474492"/>
      <w:bookmarkStart w:id="49" w:name="_Toc170302025"/>
      <w:bookmarkStart w:id="50" w:name="_Toc169774647"/>
      <w:bookmarkStart w:id="51" w:name="_Toc10670"/>
      <w:bookmarkStart w:id="52" w:name="_Toc4411"/>
      <w:bookmarkStart w:id="53" w:name="_Toc20716"/>
      <w:bookmarkStart w:id="54" w:name="_Toc1373"/>
      <w:bookmarkStart w:id="55" w:name="_Toc32274"/>
      <w:bookmarkStart w:id="56" w:name="_Toc29305"/>
      <w:bookmarkStart w:id="57" w:name="_Toc169773114"/>
      <w:bookmarkStart w:id="58" w:name="_Toc170474493"/>
      <w:r>
        <w:rPr>
          <w:rFonts w:ascii="Times New Roman" w:hAnsi="Times New Roman" w:eastAsia="方正仿宋_GBK" w:cs="Times New Roman"/>
        </w:rPr>
        <w:t>2．年度目标</w:t>
      </w:r>
      <w:bookmarkEnd w:id="48"/>
      <w:bookmarkEnd w:id="49"/>
      <w:bookmarkEnd w:id="50"/>
    </w:p>
    <w:p w14:paraId="7DF0B80B">
      <w:pPr>
        <w:ind w:firstLine="640"/>
        <w:rPr>
          <w:rFonts w:ascii="Times New Roman" w:hAnsi="Times New Roman" w:cs="Times New Roman"/>
          <w:sz w:val="32"/>
          <w:szCs w:val="32"/>
        </w:rPr>
      </w:pPr>
      <w:r>
        <w:rPr>
          <w:rFonts w:ascii="Times New Roman" w:hAnsi="Times New Roman" w:cs="Times New Roman"/>
          <w:sz w:val="32"/>
          <w:szCs w:val="32"/>
        </w:rPr>
        <w:t>根据市发改委2024年度部门预算绩效目标申报表、2024年度主要工作任务等有关文件，2024年度市发改委工作年度目标梳理如下：</w:t>
      </w:r>
    </w:p>
    <w:p w14:paraId="434A76E8">
      <w:pPr>
        <w:pStyle w:val="6"/>
        <w:spacing w:line="240" w:lineRule="auto"/>
        <w:ind w:left="0" w:leftChars="0" w:firstLine="0" w:firstLineChars="0"/>
        <w:jc w:val="center"/>
        <w:rPr>
          <w:rFonts w:eastAsia="方正黑体_GBK"/>
          <w:szCs w:val="28"/>
        </w:rPr>
      </w:pPr>
      <w:r>
        <w:rPr>
          <w:rFonts w:eastAsia="方正黑体_GBK"/>
          <w:szCs w:val="28"/>
        </w:rPr>
        <w:t>表2  2024年度南京市发改委年度绩效目标表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860"/>
        <w:gridCol w:w="3411"/>
        <w:gridCol w:w="2148"/>
      </w:tblGrid>
      <w:tr w14:paraId="2D04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tcBorders>
              <w:tl2br w:val="nil"/>
              <w:tr2bl w:val="nil"/>
            </w:tcBorders>
            <w:shd w:val="clear" w:color="000000" w:fill="FFFFFF"/>
            <w:vAlign w:val="center"/>
          </w:tcPr>
          <w:p w14:paraId="591C2F59">
            <w:pPr>
              <w:widowControl/>
              <w:spacing w:line="240" w:lineRule="auto"/>
              <w:ind w:firstLine="0" w:firstLineChars="0"/>
              <w:jc w:val="center"/>
              <w:rPr>
                <w:rFonts w:ascii="Times New Roman" w:hAnsi="Times New Roman" w:eastAsia="方正黑体_GBK" w:cs="Times New Roman"/>
                <w:color w:val="000000"/>
                <w:kern w:val="0"/>
                <w:sz w:val="21"/>
                <w:szCs w:val="21"/>
              </w:rPr>
            </w:pPr>
            <w:r>
              <w:rPr>
                <w:rFonts w:ascii="Times New Roman" w:hAnsi="Times New Roman" w:eastAsia="方正黑体_GBK" w:cs="Times New Roman"/>
                <w:color w:val="000000"/>
                <w:kern w:val="0"/>
                <w:sz w:val="21"/>
                <w:szCs w:val="21"/>
              </w:rPr>
              <w:t>一级指标</w:t>
            </w:r>
          </w:p>
        </w:tc>
        <w:tc>
          <w:tcPr>
            <w:tcW w:w="1091" w:type="pct"/>
            <w:tcBorders>
              <w:tl2br w:val="nil"/>
              <w:tr2bl w:val="nil"/>
            </w:tcBorders>
            <w:shd w:val="clear" w:color="000000" w:fill="FFFFFF"/>
            <w:vAlign w:val="center"/>
          </w:tcPr>
          <w:p w14:paraId="14B72D6E">
            <w:pPr>
              <w:widowControl/>
              <w:spacing w:line="240" w:lineRule="auto"/>
              <w:ind w:firstLine="0" w:firstLineChars="0"/>
              <w:jc w:val="center"/>
              <w:rPr>
                <w:rFonts w:ascii="Times New Roman" w:hAnsi="Times New Roman" w:eastAsia="方正黑体_GBK" w:cs="Times New Roman"/>
                <w:color w:val="000000"/>
                <w:kern w:val="0"/>
                <w:sz w:val="21"/>
                <w:szCs w:val="21"/>
              </w:rPr>
            </w:pPr>
            <w:r>
              <w:rPr>
                <w:rFonts w:ascii="Times New Roman" w:hAnsi="Times New Roman" w:eastAsia="方正黑体_GBK" w:cs="Times New Roman"/>
                <w:color w:val="000000"/>
                <w:kern w:val="0"/>
                <w:sz w:val="21"/>
                <w:szCs w:val="21"/>
              </w:rPr>
              <w:t>二级指标</w:t>
            </w:r>
          </w:p>
        </w:tc>
        <w:tc>
          <w:tcPr>
            <w:tcW w:w="2001" w:type="pct"/>
            <w:tcBorders>
              <w:tl2br w:val="nil"/>
              <w:tr2bl w:val="nil"/>
            </w:tcBorders>
            <w:shd w:val="clear" w:color="auto" w:fill="auto"/>
            <w:vAlign w:val="center"/>
          </w:tcPr>
          <w:p w14:paraId="242E4DE7">
            <w:pPr>
              <w:widowControl/>
              <w:spacing w:line="240" w:lineRule="auto"/>
              <w:ind w:firstLine="0" w:firstLineChars="0"/>
              <w:jc w:val="center"/>
              <w:rPr>
                <w:rFonts w:ascii="Times New Roman" w:hAnsi="Times New Roman" w:eastAsia="方正黑体_GBK" w:cs="Times New Roman"/>
                <w:color w:val="000000"/>
                <w:kern w:val="0"/>
                <w:sz w:val="21"/>
                <w:szCs w:val="21"/>
              </w:rPr>
            </w:pPr>
            <w:r>
              <w:rPr>
                <w:rFonts w:ascii="Times New Roman" w:hAnsi="Times New Roman" w:eastAsia="方正黑体_GBK" w:cs="Times New Roman"/>
                <w:color w:val="000000"/>
                <w:kern w:val="0"/>
                <w:sz w:val="21"/>
                <w:szCs w:val="21"/>
              </w:rPr>
              <w:t>三级指标</w:t>
            </w:r>
          </w:p>
        </w:tc>
        <w:tc>
          <w:tcPr>
            <w:tcW w:w="1260" w:type="pct"/>
            <w:tcBorders>
              <w:tl2br w:val="nil"/>
              <w:tr2bl w:val="nil"/>
            </w:tcBorders>
            <w:shd w:val="clear" w:color="auto" w:fill="auto"/>
            <w:vAlign w:val="center"/>
          </w:tcPr>
          <w:p w14:paraId="3ED1A597">
            <w:pPr>
              <w:widowControl/>
              <w:spacing w:line="240" w:lineRule="auto"/>
              <w:ind w:firstLine="0" w:firstLineChars="0"/>
              <w:jc w:val="center"/>
              <w:rPr>
                <w:rFonts w:ascii="Times New Roman" w:hAnsi="Times New Roman" w:eastAsia="方正黑体_GBK" w:cs="Times New Roman"/>
                <w:color w:val="000000"/>
                <w:kern w:val="0"/>
                <w:sz w:val="21"/>
                <w:szCs w:val="21"/>
              </w:rPr>
            </w:pPr>
            <w:r>
              <w:rPr>
                <w:rFonts w:ascii="Times New Roman" w:hAnsi="Times New Roman" w:eastAsia="方正黑体_GBK" w:cs="Times New Roman"/>
                <w:color w:val="000000"/>
                <w:kern w:val="0"/>
                <w:sz w:val="21"/>
                <w:szCs w:val="21"/>
              </w:rPr>
              <w:t>目标值</w:t>
            </w:r>
          </w:p>
        </w:tc>
      </w:tr>
      <w:tr w14:paraId="56D3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restart"/>
            <w:tcBorders>
              <w:tl2br w:val="nil"/>
              <w:tr2bl w:val="nil"/>
            </w:tcBorders>
            <w:shd w:val="clear" w:color="000000" w:fill="FFFFFF"/>
            <w:vAlign w:val="center"/>
          </w:tcPr>
          <w:p w14:paraId="21BE1C39">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产出</w:t>
            </w:r>
          </w:p>
        </w:tc>
        <w:tc>
          <w:tcPr>
            <w:tcW w:w="1091" w:type="pct"/>
            <w:vMerge w:val="restart"/>
            <w:tcBorders>
              <w:tl2br w:val="nil"/>
              <w:tr2bl w:val="nil"/>
            </w:tcBorders>
            <w:shd w:val="clear" w:color="000000" w:fill="FFFFFF"/>
            <w:vAlign w:val="center"/>
          </w:tcPr>
          <w:p w14:paraId="71F61886">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经济发展与评价</w:t>
            </w:r>
          </w:p>
        </w:tc>
        <w:tc>
          <w:tcPr>
            <w:tcW w:w="2001" w:type="pct"/>
            <w:tcBorders>
              <w:tl2br w:val="nil"/>
              <w:tr2bl w:val="nil"/>
            </w:tcBorders>
            <w:shd w:val="clear" w:color="auto" w:fill="auto"/>
            <w:vAlign w:val="center"/>
          </w:tcPr>
          <w:p w14:paraId="6C382A9B">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固定资产投资项目节能评审数</w:t>
            </w:r>
          </w:p>
        </w:tc>
        <w:tc>
          <w:tcPr>
            <w:tcW w:w="2148" w:type="dxa"/>
            <w:tcBorders>
              <w:tl2br w:val="nil"/>
              <w:tr2bl w:val="nil"/>
            </w:tcBorders>
            <w:shd w:val="clear" w:color="auto" w:fill="auto"/>
            <w:vAlign w:val="center"/>
          </w:tcPr>
          <w:p w14:paraId="603F95AD">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≥20</w:t>
            </w:r>
          </w:p>
        </w:tc>
      </w:tr>
      <w:tr w14:paraId="74F1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53BC3C78">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2F45F404">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2AAEC666">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完成竣工验收项目数</w:t>
            </w:r>
          </w:p>
        </w:tc>
        <w:tc>
          <w:tcPr>
            <w:tcW w:w="2148" w:type="dxa"/>
            <w:tcBorders>
              <w:tl2br w:val="nil"/>
              <w:tr2bl w:val="nil"/>
            </w:tcBorders>
            <w:shd w:val="clear" w:color="auto" w:fill="auto"/>
            <w:vAlign w:val="center"/>
          </w:tcPr>
          <w:p w14:paraId="27643F6C">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≥20</w:t>
            </w:r>
          </w:p>
        </w:tc>
      </w:tr>
      <w:tr w14:paraId="3291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092EA1DC">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3AF1CC3E">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45EE3676">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举办“双碳”相关活动次数</w:t>
            </w:r>
          </w:p>
        </w:tc>
        <w:tc>
          <w:tcPr>
            <w:tcW w:w="2148" w:type="dxa"/>
            <w:tcBorders>
              <w:tl2br w:val="nil"/>
              <w:tr2bl w:val="nil"/>
            </w:tcBorders>
            <w:shd w:val="clear" w:color="auto" w:fill="auto"/>
            <w:vAlign w:val="center"/>
          </w:tcPr>
          <w:p w14:paraId="3651D1F2">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完成</w:t>
            </w:r>
          </w:p>
        </w:tc>
      </w:tr>
      <w:tr w14:paraId="393E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300AD3D5">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restart"/>
            <w:tcBorders>
              <w:tl2br w:val="nil"/>
              <w:tr2bl w:val="nil"/>
            </w:tcBorders>
            <w:shd w:val="clear" w:color="000000" w:fill="FFFFFF"/>
            <w:vAlign w:val="center"/>
          </w:tcPr>
          <w:p w14:paraId="2450EA81">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社会民生发展研究</w:t>
            </w:r>
          </w:p>
        </w:tc>
        <w:tc>
          <w:tcPr>
            <w:tcW w:w="2001" w:type="pct"/>
            <w:tcBorders>
              <w:tl2br w:val="nil"/>
              <w:tr2bl w:val="nil"/>
            </w:tcBorders>
            <w:shd w:val="clear" w:color="auto" w:fill="auto"/>
            <w:vAlign w:val="center"/>
          </w:tcPr>
          <w:p w14:paraId="73AEE25E">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形成调研报告、经济形势分析数量</w:t>
            </w:r>
          </w:p>
        </w:tc>
        <w:tc>
          <w:tcPr>
            <w:tcW w:w="2148" w:type="dxa"/>
            <w:tcBorders>
              <w:tl2br w:val="nil"/>
              <w:tr2bl w:val="nil"/>
            </w:tcBorders>
            <w:shd w:val="clear" w:color="auto" w:fill="auto"/>
            <w:vAlign w:val="center"/>
          </w:tcPr>
          <w:p w14:paraId="1BB48C64">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≥10篇</w:t>
            </w:r>
          </w:p>
        </w:tc>
      </w:tr>
      <w:tr w14:paraId="4AF4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2DE23CE5">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3A0E1C74">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3EF1F2AC">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获省发改委刊登篇数</w:t>
            </w:r>
          </w:p>
        </w:tc>
        <w:tc>
          <w:tcPr>
            <w:tcW w:w="2148" w:type="dxa"/>
            <w:tcBorders>
              <w:tl2br w:val="nil"/>
              <w:tr2bl w:val="nil"/>
            </w:tcBorders>
            <w:shd w:val="clear" w:color="auto" w:fill="auto"/>
            <w:vAlign w:val="center"/>
          </w:tcPr>
          <w:p w14:paraId="34D87A59">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≥2篇</w:t>
            </w:r>
          </w:p>
        </w:tc>
      </w:tr>
      <w:tr w14:paraId="2B8F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105FD55F">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40891D8B">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1CD69C87">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形成民生实事候选项目数</w:t>
            </w:r>
          </w:p>
        </w:tc>
        <w:tc>
          <w:tcPr>
            <w:tcW w:w="2148" w:type="dxa"/>
            <w:tcBorders>
              <w:tl2br w:val="nil"/>
              <w:tr2bl w:val="nil"/>
            </w:tcBorders>
            <w:shd w:val="clear" w:color="auto" w:fill="auto"/>
            <w:vAlign w:val="center"/>
          </w:tcPr>
          <w:p w14:paraId="57126E55">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≥40个</w:t>
            </w:r>
          </w:p>
        </w:tc>
      </w:tr>
      <w:tr w14:paraId="385C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38464E14">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restart"/>
            <w:tcBorders>
              <w:tl2br w:val="nil"/>
              <w:tr2bl w:val="nil"/>
            </w:tcBorders>
            <w:shd w:val="clear" w:color="000000" w:fill="FFFFFF"/>
            <w:vAlign w:val="center"/>
          </w:tcPr>
          <w:p w14:paraId="355ABE2C">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区域协调发展</w:t>
            </w:r>
          </w:p>
        </w:tc>
        <w:tc>
          <w:tcPr>
            <w:tcW w:w="2001" w:type="pct"/>
            <w:tcBorders>
              <w:tl2br w:val="nil"/>
              <w:tr2bl w:val="nil"/>
            </w:tcBorders>
            <w:shd w:val="clear" w:color="auto" w:fill="auto"/>
            <w:vAlign w:val="center"/>
          </w:tcPr>
          <w:p w14:paraId="69A955BB">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对口支援检查及开展活动次数</w:t>
            </w:r>
          </w:p>
        </w:tc>
        <w:tc>
          <w:tcPr>
            <w:tcW w:w="2148" w:type="dxa"/>
            <w:tcBorders>
              <w:tl2br w:val="nil"/>
              <w:tr2bl w:val="nil"/>
            </w:tcBorders>
            <w:shd w:val="clear" w:color="auto" w:fill="auto"/>
            <w:vAlign w:val="center"/>
          </w:tcPr>
          <w:p w14:paraId="1A450D4C">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≥13次</w:t>
            </w:r>
          </w:p>
        </w:tc>
      </w:tr>
      <w:tr w14:paraId="62A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15C7F798">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130264DA">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6DD92222">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长江经济带宣传活动、推文及报道</w:t>
            </w:r>
          </w:p>
        </w:tc>
        <w:tc>
          <w:tcPr>
            <w:tcW w:w="2148" w:type="dxa"/>
            <w:tcBorders>
              <w:tl2br w:val="nil"/>
              <w:tr2bl w:val="nil"/>
            </w:tcBorders>
            <w:shd w:val="clear" w:color="auto" w:fill="auto"/>
            <w:vAlign w:val="center"/>
          </w:tcPr>
          <w:p w14:paraId="67F3627A">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≥20篇</w:t>
            </w:r>
          </w:p>
        </w:tc>
      </w:tr>
      <w:tr w14:paraId="24F3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0F22AB71">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restart"/>
            <w:tcBorders>
              <w:tl2br w:val="nil"/>
              <w:tr2bl w:val="nil"/>
            </w:tcBorders>
            <w:shd w:val="clear" w:color="000000" w:fill="FFFFFF"/>
            <w:vAlign w:val="center"/>
          </w:tcPr>
          <w:p w14:paraId="7307ABC2">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社会信用体系建设</w:t>
            </w:r>
          </w:p>
        </w:tc>
        <w:tc>
          <w:tcPr>
            <w:tcW w:w="2001" w:type="pct"/>
            <w:tcBorders>
              <w:tl2br w:val="nil"/>
              <w:tr2bl w:val="nil"/>
            </w:tcBorders>
            <w:shd w:val="clear" w:color="000000" w:fill="FFFFFF"/>
            <w:vAlign w:val="center"/>
          </w:tcPr>
          <w:p w14:paraId="1F05C8FC">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企业信用评级报告抽查检验工作通过专家评审次数</w:t>
            </w:r>
          </w:p>
        </w:tc>
        <w:tc>
          <w:tcPr>
            <w:tcW w:w="2148" w:type="dxa"/>
            <w:tcBorders>
              <w:tl2br w:val="nil"/>
              <w:tr2bl w:val="nil"/>
            </w:tcBorders>
            <w:shd w:val="clear" w:color="000000" w:fill="FFFFFF"/>
            <w:vAlign w:val="center"/>
          </w:tcPr>
          <w:p w14:paraId="557580EC">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≥2</w:t>
            </w:r>
          </w:p>
        </w:tc>
      </w:tr>
      <w:tr w14:paraId="3AE2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4FBAD86D">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003C3A36">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25241810">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信用监测国家排名</w:t>
            </w:r>
          </w:p>
        </w:tc>
        <w:tc>
          <w:tcPr>
            <w:tcW w:w="2148" w:type="dxa"/>
            <w:tcBorders>
              <w:tl2br w:val="nil"/>
              <w:tr2bl w:val="nil"/>
            </w:tcBorders>
            <w:shd w:val="clear" w:color="auto" w:fill="auto"/>
            <w:vAlign w:val="center"/>
          </w:tcPr>
          <w:p w14:paraId="73F180F8">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排名保持在中上游</w:t>
            </w:r>
          </w:p>
        </w:tc>
      </w:tr>
      <w:tr w14:paraId="3BFC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1C36A2CE">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12C8650F">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000000" w:fill="FFFFFF"/>
            <w:vAlign w:val="center"/>
          </w:tcPr>
          <w:p w14:paraId="1363E8CC">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信用主题活动综合报道以及深度报道等稿件数</w:t>
            </w:r>
          </w:p>
        </w:tc>
        <w:tc>
          <w:tcPr>
            <w:tcW w:w="2148" w:type="dxa"/>
            <w:tcBorders>
              <w:tl2br w:val="nil"/>
              <w:tr2bl w:val="nil"/>
            </w:tcBorders>
            <w:shd w:val="clear" w:color="000000" w:fill="FFFFFF"/>
            <w:vAlign w:val="center"/>
          </w:tcPr>
          <w:p w14:paraId="651AC6C6">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≥6</w:t>
            </w:r>
          </w:p>
        </w:tc>
      </w:tr>
      <w:tr w14:paraId="67C5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00121C2C">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restart"/>
            <w:tcBorders>
              <w:tl2br w:val="nil"/>
              <w:tr2bl w:val="nil"/>
            </w:tcBorders>
            <w:shd w:val="clear" w:color="000000" w:fill="FFFFFF"/>
            <w:vAlign w:val="center"/>
          </w:tcPr>
          <w:p w14:paraId="51B2FAA0">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粮食和物资管理</w:t>
            </w:r>
          </w:p>
        </w:tc>
        <w:tc>
          <w:tcPr>
            <w:tcW w:w="2001" w:type="pct"/>
            <w:tcBorders>
              <w:tl2br w:val="nil"/>
              <w:tr2bl w:val="nil"/>
            </w:tcBorders>
            <w:shd w:val="clear" w:color="000000" w:fill="FFFFFF"/>
            <w:vAlign w:val="center"/>
          </w:tcPr>
          <w:p w14:paraId="35363806">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开展粮食监督检查次数</w:t>
            </w:r>
          </w:p>
        </w:tc>
        <w:tc>
          <w:tcPr>
            <w:tcW w:w="2148" w:type="dxa"/>
            <w:tcBorders>
              <w:tl2br w:val="nil"/>
              <w:tr2bl w:val="nil"/>
            </w:tcBorders>
            <w:shd w:val="clear" w:color="000000" w:fill="FFFFFF"/>
            <w:vAlign w:val="center"/>
          </w:tcPr>
          <w:p w14:paraId="11BF32EC">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≥8次</w:t>
            </w:r>
          </w:p>
        </w:tc>
      </w:tr>
      <w:tr w14:paraId="2E36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5100380F">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267D1681">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610DD3BC">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城镇居民粮油收支调查户数</w:t>
            </w:r>
          </w:p>
        </w:tc>
        <w:tc>
          <w:tcPr>
            <w:tcW w:w="2148" w:type="dxa"/>
            <w:tcBorders>
              <w:tl2br w:val="nil"/>
              <w:tr2bl w:val="nil"/>
            </w:tcBorders>
            <w:shd w:val="clear" w:color="000000" w:fill="FFFFFF"/>
            <w:vAlign w:val="center"/>
          </w:tcPr>
          <w:p w14:paraId="78A60CCF">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≥91户</w:t>
            </w:r>
          </w:p>
        </w:tc>
      </w:tr>
      <w:tr w14:paraId="6BD6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42D4FBFA">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0A152E18">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000000" w:fill="FFFFFF"/>
            <w:vAlign w:val="center"/>
          </w:tcPr>
          <w:p w14:paraId="69CA30FE">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粮食宣传活动次数</w:t>
            </w:r>
          </w:p>
        </w:tc>
        <w:tc>
          <w:tcPr>
            <w:tcW w:w="2148" w:type="dxa"/>
            <w:tcBorders>
              <w:tl2br w:val="nil"/>
              <w:tr2bl w:val="nil"/>
            </w:tcBorders>
            <w:shd w:val="clear" w:color="000000" w:fill="FFFFFF"/>
            <w:vAlign w:val="center"/>
          </w:tcPr>
          <w:p w14:paraId="1F1A2052">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≥2次</w:t>
            </w:r>
          </w:p>
        </w:tc>
      </w:tr>
      <w:tr w14:paraId="2529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7D1DDF68">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restart"/>
            <w:tcBorders>
              <w:tl2br w:val="nil"/>
              <w:tr2bl w:val="nil"/>
            </w:tcBorders>
            <w:shd w:val="clear" w:color="000000" w:fill="FFFFFF"/>
            <w:vAlign w:val="center"/>
          </w:tcPr>
          <w:p w14:paraId="4563C49C">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推进办日常工作</w:t>
            </w:r>
          </w:p>
        </w:tc>
        <w:tc>
          <w:tcPr>
            <w:tcW w:w="2001" w:type="pct"/>
            <w:tcBorders>
              <w:tl2br w:val="nil"/>
              <w:tr2bl w:val="nil"/>
            </w:tcBorders>
            <w:shd w:val="clear" w:color="auto" w:fill="auto"/>
            <w:vAlign w:val="center"/>
          </w:tcPr>
          <w:p w14:paraId="46C9196F">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检查重大项目数量</w:t>
            </w:r>
          </w:p>
        </w:tc>
        <w:tc>
          <w:tcPr>
            <w:tcW w:w="2148" w:type="dxa"/>
            <w:tcBorders>
              <w:tl2br w:val="nil"/>
              <w:tr2bl w:val="nil"/>
            </w:tcBorders>
            <w:shd w:val="clear" w:color="auto" w:fill="auto"/>
            <w:vAlign w:val="center"/>
          </w:tcPr>
          <w:p w14:paraId="3410428D">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≥150</w:t>
            </w:r>
          </w:p>
        </w:tc>
      </w:tr>
      <w:tr w14:paraId="25B5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53BB9291">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24F693CA">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6826F09F">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对各项推进工作进行服务、协调、保障</w:t>
            </w:r>
          </w:p>
        </w:tc>
        <w:tc>
          <w:tcPr>
            <w:tcW w:w="2148" w:type="dxa"/>
            <w:tcBorders>
              <w:tl2br w:val="nil"/>
              <w:tr2bl w:val="nil"/>
            </w:tcBorders>
            <w:shd w:val="clear" w:color="auto" w:fill="auto"/>
            <w:vAlign w:val="center"/>
          </w:tcPr>
          <w:p w14:paraId="5AC8D1FB">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按时效推进</w:t>
            </w:r>
          </w:p>
        </w:tc>
      </w:tr>
      <w:tr w14:paraId="15E0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12AC470F">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7B0CFD18">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65CA3674">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推进都市圈宣传，发布宣传信息条数</w:t>
            </w:r>
          </w:p>
        </w:tc>
        <w:tc>
          <w:tcPr>
            <w:tcW w:w="2148" w:type="dxa"/>
            <w:tcBorders>
              <w:tl2br w:val="nil"/>
              <w:tr2bl w:val="nil"/>
            </w:tcBorders>
            <w:shd w:val="clear" w:color="auto" w:fill="auto"/>
            <w:vAlign w:val="center"/>
          </w:tcPr>
          <w:p w14:paraId="4E75D8CD">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≥200条</w:t>
            </w:r>
          </w:p>
        </w:tc>
      </w:tr>
      <w:tr w14:paraId="5B6A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5FA57DE0">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restart"/>
            <w:tcBorders>
              <w:tl2br w:val="nil"/>
              <w:tr2bl w:val="nil"/>
            </w:tcBorders>
            <w:shd w:val="clear" w:color="auto" w:fill="auto"/>
            <w:vAlign w:val="center"/>
          </w:tcPr>
          <w:p w14:paraId="06A6DAC7">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“十五五”规划编制</w:t>
            </w:r>
          </w:p>
        </w:tc>
        <w:tc>
          <w:tcPr>
            <w:tcW w:w="2001" w:type="pct"/>
            <w:tcBorders>
              <w:tl2br w:val="nil"/>
              <w:tr2bl w:val="nil"/>
            </w:tcBorders>
            <w:shd w:val="clear" w:color="auto" w:fill="auto"/>
            <w:vAlign w:val="center"/>
          </w:tcPr>
          <w:p w14:paraId="18280275">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前期研究课题报告</w:t>
            </w:r>
          </w:p>
        </w:tc>
        <w:tc>
          <w:tcPr>
            <w:tcW w:w="2148" w:type="dxa"/>
            <w:tcBorders>
              <w:tl2br w:val="nil"/>
              <w:tr2bl w:val="nil"/>
            </w:tcBorders>
            <w:shd w:val="clear" w:color="auto" w:fill="auto"/>
            <w:vAlign w:val="center"/>
          </w:tcPr>
          <w:p w14:paraId="225A9619">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30篇</w:t>
            </w:r>
          </w:p>
        </w:tc>
      </w:tr>
      <w:tr w14:paraId="427F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1399EA44">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556C8F05">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5B2D656D">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市级以上刊物刊发</w:t>
            </w:r>
          </w:p>
        </w:tc>
        <w:tc>
          <w:tcPr>
            <w:tcW w:w="2148" w:type="dxa"/>
            <w:tcBorders>
              <w:tl2br w:val="nil"/>
              <w:tr2bl w:val="nil"/>
            </w:tcBorders>
            <w:shd w:val="clear" w:color="auto" w:fill="auto"/>
            <w:vAlign w:val="center"/>
          </w:tcPr>
          <w:p w14:paraId="45AF2D8B">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5篇</w:t>
            </w:r>
          </w:p>
        </w:tc>
      </w:tr>
      <w:tr w14:paraId="3F9F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restart"/>
            <w:tcBorders>
              <w:tl2br w:val="nil"/>
              <w:tr2bl w:val="nil"/>
            </w:tcBorders>
            <w:vAlign w:val="center"/>
          </w:tcPr>
          <w:p w14:paraId="4F35EEA0">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效益</w:t>
            </w:r>
          </w:p>
        </w:tc>
        <w:tc>
          <w:tcPr>
            <w:tcW w:w="1091" w:type="pct"/>
            <w:tcBorders>
              <w:tl2br w:val="nil"/>
              <w:tr2bl w:val="nil"/>
            </w:tcBorders>
            <w:vAlign w:val="center"/>
          </w:tcPr>
          <w:p w14:paraId="2C427144">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经济效益</w:t>
            </w:r>
          </w:p>
        </w:tc>
        <w:tc>
          <w:tcPr>
            <w:tcW w:w="2001" w:type="pct"/>
            <w:tcBorders>
              <w:tl2br w:val="nil"/>
              <w:tr2bl w:val="nil"/>
            </w:tcBorders>
            <w:shd w:val="clear" w:color="auto" w:fill="auto"/>
            <w:vAlign w:val="center"/>
          </w:tcPr>
          <w:p w14:paraId="70F1DECE">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经济监测是否全面，监测数据的参考价值</w:t>
            </w:r>
          </w:p>
        </w:tc>
        <w:tc>
          <w:tcPr>
            <w:tcW w:w="2148" w:type="dxa"/>
            <w:tcBorders>
              <w:tl2br w:val="nil"/>
              <w:tr2bl w:val="nil"/>
            </w:tcBorders>
            <w:shd w:val="clear" w:color="auto" w:fill="auto"/>
            <w:vAlign w:val="center"/>
          </w:tcPr>
          <w:p w14:paraId="6E758DF4">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kern w:val="0"/>
                <w:sz w:val="22"/>
              </w:rPr>
              <w:t>全面、具有参考价值</w:t>
            </w:r>
          </w:p>
        </w:tc>
      </w:tr>
      <w:tr w14:paraId="5F82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70512EA1">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restart"/>
            <w:tcBorders>
              <w:tl2br w:val="nil"/>
              <w:tr2bl w:val="nil"/>
            </w:tcBorders>
            <w:shd w:val="clear" w:color="auto" w:fill="auto"/>
            <w:vAlign w:val="center"/>
          </w:tcPr>
          <w:p w14:paraId="3E181369">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社会效益</w:t>
            </w:r>
          </w:p>
        </w:tc>
        <w:tc>
          <w:tcPr>
            <w:tcW w:w="2001" w:type="pct"/>
            <w:tcBorders>
              <w:tl2br w:val="nil"/>
              <w:tr2bl w:val="nil"/>
            </w:tcBorders>
            <w:shd w:val="clear" w:color="auto" w:fill="auto"/>
            <w:vAlign w:val="center"/>
          </w:tcPr>
          <w:p w14:paraId="2DC90940">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粮食质量安全</w:t>
            </w:r>
          </w:p>
        </w:tc>
        <w:tc>
          <w:tcPr>
            <w:tcW w:w="2148" w:type="dxa"/>
            <w:tcBorders>
              <w:tl2br w:val="nil"/>
              <w:tr2bl w:val="nil"/>
            </w:tcBorders>
            <w:shd w:val="clear" w:color="auto" w:fill="auto"/>
            <w:vAlign w:val="center"/>
          </w:tcPr>
          <w:p w14:paraId="577DBFCC">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安全</w:t>
            </w:r>
          </w:p>
        </w:tc>
      </w:tr>
      <w:tr w14:paraId="695B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780952FC">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72871E2C">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186DABA6">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制定规划、政策是否符合经济社会发展要求，是否得到上级部门认可</w:t>
            </w:r>
          </w:p>
        </w:tc>
        <w:tc>
          <w:tcPr>
            <w:tcW w:w="2148" w:type="dxa"/>
            <w:tcBorders>
              <w:tl2br w:val="nil"/>
              <w:tr2bl w:val="nil"/>
            </w:tcBorders>
            <w:shd w:val="clear" w:color="auto" w:fill="auto"/>
            <w:vAlign w:val="center"/>
          </w:tcPr>
          <w:p w14:paraId="1CCB1E6F">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认可</w:t>
            </w:r>
          </w:p>
        </w:tc>
      </w:tr>
      <w:tr w14:paraId="01AB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shd w:val="clear" w:color="000000" w:fill="FFFFFF"/>
            <w:vAlign w:val="center"/>
          </w:tcPr>
          <w:p w14:paraId="34E3DA87">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restart"/>
            <w:tcBorders>
              <w:tl2br w:val="nil"/>
              <w:tr2bl w:val="nil"/>
            </w:tcBorders>
            <w:shd w:val="clear" w:color="auto" w:fill="auto"/>
            <w:vAlign w:val="center"/>
          </w:tcPr>
          <w:p w14:paraId="0A855BB6">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可持续发展</w:t>
            </w:r>
          </w:p>
        </w:tc>
        <w:tc>
          <w:tcPr>
            <w:tcW w:w="2001" w:type="pct"/>
            <w:tcBorders>
              <w:tl2br w:val="nil"/>
              <w:tr2bl w:val="nil"/>
            </w:tcBorders>
            <w:shd w:val="clear" w:color="auto" w:fill="auto"/>
            <w:vAlign w:val="center"/>
          </w:tcPr>
          <w:p w14:paraId="25A6770B">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部门信息化建设</w:t>
            </w:r>
          </w:p>
        </w:tc>
        <w:tc>
          <w:tcPr>
            <w:tcW w:w="2148" w:type="dxa"/>
            <w:tcBorders>
              <w:tl2br w:val="nil"/>
              <w:tr2bl w:val="nil"/>
            </w:tcBorders>
            <w:shd w:val="clear" w:color="auto" w:fill="auto"/>
            <w:vAlign w:val="center"/>
          </w:tcPr>
          <w:p w14:paraId="4A9B3C0F">
            <w:pPr>
              <w:widowControl/>
              <w:spacing w:line="240" w:lineRule="auto"/>
              <w:ind w:firstLine="0" w:firstLineChars="0"/>
              <w:jc w:val="center"/>
              <w:rPr>
                <w:rFonts w:ascii="Times New Roman" w:hAnsi="Times New Roman" w:cs="Times New Roman"/>
                <w:kern w:val="0"/>
                <w:sz w:val="21"/>
                <w:szCs w:val="21"/>
              </w:rPr>
            </w:pPr>
            <w:r>
              <w:rPr>
                <w:rFonts w:ascii="Times New Roman" w:hAnsi="Times New Roman" w:eastAsia="方正楷体_GBK" w:cs="Times New Roman"/>
                <w:color w:val="000000"/>
                <w:kern w:val="0"/>
                <w:sz w:val="22"/>
              </w:rPr>
              <w:t>高度建设</w:t>
            </w:r>
          </w:p>
        </w:tc>
      </w:tr>
      <w:tr w14:paraId="0B08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320C4796">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shd w:val="clear" w:color="000000" w:fill="FFFFFF"/>
            <w:vAlign w:val="center"/>
          </w:tcPr>
          <w:p w14:paraId="0EA6E4A6">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55D4BC7B">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部门创新情况</w:t>
            </w:r>
          </w:p>
        </w:tc>
        <w:tc>
          <w:tcPr>
            <w:tcW w:w="2148" w:type="dxa"/>
            <w:tcBorders>
              <w:tl2br w:val="nil"/>
              <w:tr2bl w:val="nil"/>
            </w:tcBorders>
            <w:shd w:val="clear" w:color="auto" w:fill="auto"/>
            <w:vAlign w:val="center"/>
          </w:tcPr>
          <w:p w14:paraId="65113A1B">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创新</w:t>
            </w:r>
          </w:p>
        </w:tc>
      </w:tr>
      <w:tr w14:paraId="0D45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712A7050">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restart"/>
            <w:tcBorders>
              <w:tl2br w:val="nil"/>
              <w:tr2bl w:val="nil"/>
            </w:tcBorders>
            <w:shd w:val="clear" w:color="000000" w:fill="FFFFFF"/>
            <w:vAlign w:val="center"/>
          </w:tcPr>
          <w:p w14:paraId="348EA52E">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服务对象满意度</w:t>
            </w:r>
          </w:p>
        </w:tc>
        <w:tc>
          <w:tcPr>
            <w:tcW w:w="2001" w:type="pct"/>
            <w:tcBorders>
              <w:tl2br w:val="nil"/>
              <w:tr2bl w:val="nil"/>
            </w:tcBorders>
            <w:shd w:val="clear" w:color="auto" w:fill="auto"/>
            <w:vAlign w:val="center"/>
          </w:tcPr>
          <w:p w14:paraId="3BCB4590">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政务热线工作绩效考评</w:t>
            </w:r>
          </w:p>
        </w:tc>
        <w:tc>
          <w:tcPr>
            <w:tcW w:w="2148" w:type="dxa"/>
            <w:tcBorders>
              <w:tl2br w:val="nil"/>
              <w:tr2bl w:val="nil"/>
            </w:tcBorders>
            <w:shd w:val="clear" w:color="auto" w:fill="auto"/>
            <w:vAlign w:val="center"/>
          </w:tcPr>
          <w:p w14:paraId="0F3E9B3D">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满意</w:t>
            </w:r>
          </w:p>
        </w:tc>
      </w:tr>
      <w:tr w14:paraId="5409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vAlign w:val="center"/>
          </w:tcPr>
          <w:p w14:paraId="4A140947">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vAlign w:val="center"/>
          </w:tcPr>
          <w:p w14:paraId="200E72A1">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000000" w:fill="FFFFFF"/>
            <w:vAlign w:val="center"/>
          </w:tcPr>
          <w:p w14:paraId="2F20BAE3">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省发改委综合考评、市级机关绩效考评</w:t>
            </w:r>
          </w:p>
        </w:tc>
        <w:tc>
          <w:tcPr>
            <w:tcW w:w="2148" w:type="dxa"/>
            <w:tcBorders>
              <w:tl2br w:val="nil"/>
              <w:tr2bl w:val="nil"/>
            </w:tcBorders>
            <w:shd w:val="clear" w:color="000000" w:fill="FFFFFF"/>
            <w:vAlign w:val="center"/>
          </w:tcPr>
          <w:p w14:paraId="0DE1F73D">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满意</w:t>
            </w:r>
          </w:p>
        </w:tc>
      </w:tr>
      <w:tr w14:paraId="1062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5" w:type="pct"/>
            <w:vMerge w:val="continue"/>
            <w:tcBorders>
              <w:tl2br w:val="nil"/>
              <w:tr2bl w:val="nil"/>
            </w:tcBorders>
            <w:shd w:val="clear" w:color="000000" w:fill="FFFFFF"/>
            <w:vAlign w:val="center"/>
          </w:tcPr>
          <w:p w14:paraId="7B07C694">
            <w:pPr>
              <w:widowControl/>
              <w:spacing w:line="240" w:lineRule="auto"/>
              <w:ind w:firstLine="0" w:firstLineChars="0"/>
              <w:jc w:val="center"/>
              <w:rPr>
                <w:rFonts w:ascii="Times New Roman" w:hAnsi="Times New Roman" w:cs="Times New Roman"/>
                <w:color w:val="000000"/>
                <w:kern w:val="0"/>
                <w:sz w:val="21"/>
                <w:szCs w:val="21"/>
              </w:rPr>
            </w:pPr>
          </w:p>
        </w:tc>
        <w:tc>
          <w:tcPr>
            <w:tcW w:w="1091" w:type="pct"/>
            <w:vMerge w:val="continue"/>
            <w:tcBorders>
              <w:tl2br w:val="nil"/>
              <w:tr2bl w:val="nil"/>
            </w:tcBorders>
            <w:shd w:val="clear" w:color="000000" w:fill="FFFFFF"/>
            <w:vAlign w:val="center"/>
          </w:tcPr>
          <w:p w14:paraId="4DBF7629">
            <w:pPr>
              <w:widowControl/>
              <w:spacing w:line="240" w:lineRule="auto"/>
              <w:ind w:firstLine="0" w:firstLineChars="0"/>
              <w:jc w:val="center"/>
              <w:rPr>
                <w:rFonts w:ascii="Times New Roman" w:hAnsi="Times New Roman" w:cs="Times New Roman"/>
                <w:color w:val="000000"/>
                <w:kern w:val="0"/>
                <w:sz w:val="21"/>
                <w:szCs w:val="21"/>
              </w:rPr>
            </w:pPr>
          </w:p>
        </w:tc>
        <w:tc>
          <w:tcPr>
            <w:tcW w:w="2001" w:type="pct"/>
            <w:tcBorders>
              <w:tl2br w:val="nil"/>
              <w:tr2bl w:val="nil"/>
            </w:tcBorders>
            <w:shd w:val="clear" w:color="auto" w:fill="auto"/>
            <w:vAlign w:val="center"/>
          </w:tcPr>
          <w:p w14:paraId="38DCB8AB">
            <w:pPr>
              <w:widowControl/>
              <w:spacing w:line="240" w:lineRule="auto"/>
              <w:ind w:firstLine="0" w:firstLineChars="0"/>
              <w:jc w:val="center"/>
              <w:textAlignment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部门人员满意度</w:t>
            </w:r>
          </w:p>
        </w:tc>
        <w:tc>
          <w:tcPr>
            <w:tcW w:w="2148" w:type="dxa"/>
            <w:tcBorders>
              <w:tl2br w:val="nil"/>
              <w:tr2bl w:val="nil"/>
            </w:tcBorders>
            <w:shd w:val="clear" w:color="auto" w:fill="auto"/>
            <w:vAlign w:val="center"/>
          </w:tcPr>
          <w:p w14:paraId="3050AF84">
            <w:pPr>
              <w:widowControl/>
              <w:spacing w:line="240" w:lineRule="auto"/>
              <w:ind w:firstLine="0" w:firstLineChars="0"/>
              <w:jc w:val="center"/>
              <w:rPr>
                <w:rFonts w:ascii="Times New Roman" w:hAnsi="Times New Roman" w:cs="Times New Roman"/>
                <w:color w:val="000000"/>
                <w:kern w:val="0"/>
                <w:sz w:val="21"/>
                <w:szCs w:val="21"/>
              </w:rPr>
            </w:pPr>
            <w:r>
              <w:rPr>
                <w:rFonts w:ascii="Times New Roman" w:hAnsi="Times New Roman" w:eastAsia="方正楷体_GBK" w:cs="Times New Roman"/>
                <w:color w:val="000000"/>
                <w:kern w:val="0"/>
                <w:sz w:val="22"/>
              </w:rPr>
              <w:t>满意</w:t>
            </w:r>
          </w:p>
        </w:tc>
      </w:tr>
    </w:tbl>
    <w:p w14:paraId="61CA195D">
      <w:pPr>
        <w:pStyle w:val="2"/>
        <w:ind w:firstLine="640"/>
        <w:rPr>
          <w:rFonts w:ascii="Times New Roman" w:hAnsi="Times New Roman" w:cs="Times New Roman"/>
          <w:szCs w:val="32"/>
        </w:rPr>
      </w:pPr>
      <w:bookmarkStart w:id="59" w:name="_Toc7857"/>
      <w:r>
        <w:rPr>
          <w:rFonts w:ascii="Times New Roman" w:hAnsi="Times New Roman" w:cs="Times New Roman"/>
          <w:szCs w:val="32"/>
        </w:rPr>
        <w:t>二、</w:t>
      </w:r>
      <w:bookmarkEnd w:id="51"/>
      <w:bookmarkEnd w:id="52"/>
      <w:bookmarkEnd w:id="53"/>
      <w:bookmarkEnd w:id="54"/>
      <w:bookmarkEnd w:id="55"/>
      <w:bookmarkEnd w:id="56"/>
      <w:r>
        <w:rPr>
          <w:rFonts w:ascii="Times New Roman" w:hAnsi="Times New Roman" w:cs="Times New Roman"/>
          <w:szCs w:val="32"/>
        </w:rPr>
        <w:t>评价结论</w:t>
      </w:r>
      <w:bookmarkEnd w:id="57"/>
      <w:bookmarkEnd w:id="58"/>
      <w:bookmarkEnd w:id="59"/>
    </w:p>
    <w:p w14:paraId="17B9E235">
      <w:pPr>
        <w:ind w:firstLine="640"/>
        <w:rPr>
          <w:rFonts w:ascii="Times New Roman" w:hAnsi="Times New Roman" w:cs="Times New Roman"/>
          <w:sz w:val="32"/>
          <w:szCs w:val="32"/>
        </w:rPr>
      </w:pPr>
      <w:r>
        <w:rPr>
          <w:rFonts w:ascii="Times New Roman" w:hAnsi="Times New Roman" w:cs="Times New Roman"/>
          <w:sz w:val="32"/>
          <w:szCs w:val="32"/>
        </w:rPr>
        <w:t>本次绩效自评价遵循科学规范、公开公正、绩效相关原则，对照部门职责和绩效目标，全面核查部门整体履职情况，评判部门履职绩效。2024年度市发改委部门业务管理和资金管理规范高效，圆满地完成各项工作任务，部门履职成效显著，但在预算编制和执行方面仍需加强。经客观评价，部门整体绩效评价结果为92.83分，绩效等级为“优”。</w:t>
      </w:r>
    </w:p>
    <w:p w14:paraId="51D2FEA1">
      <w:pPr>
        <w:pStyle w:val="6"/>
        <w:spacing w:line="240" w:lineRule="auto"/>
        <w:ind w:left="0" w:leftChars="0" w:firstLine="0" w:firstLineChars="0"/>
        <w:jc w:val="center"/>
        <w:rPr>
          <w:rFonts w:eastAsia="方正黑体_GBK"/>
          <w:szCs w:val="28"/>
        </w:rPr>
      </w:pPr>
      <w:r>
        <w:rPr>
          <w:rFonts w:eastAsia="方正黑体_GBK"/>
          <w:szCs w:val="28"/>
        </w:rPr>
        <w:t>表3  2024年度南京市发改委部门整体绩效评价得分汇总表</w:t>
      </w:r>
    </w:p>
    <w:tbl>
      <w:tblPr>
        <w:tblStyle w:val="12"/>
        <w:tblW w:w="4998" w:type="pct"/>
        <w:tblInd w:w="0" w:type="dxa"/>
        <w:tblLayout w:type="autofit"/>
        <w:tblCellMar>
          <w:top w:w="0" w:type="dxa"/>
          <w:left w:w="108" w:type="dxa"/>
          <w:bottom w:w="0" w:type="dxa"/>
          <w:right w:w="108" w:type="dxa"/>
        </w:tblCellMar>
      </w:tblPr>
      <w:tblGrid>
        <w:gridCol w:w="2475"/>
        <w:gridCol w:w="1708"/>
        <w:gridCol w:w="2015"/>
        <w:gridCol w:w="2321"/>
      </w:tblGrid>
      <w:tr w14:paraId="5BD58265">
        <w:tblPrEx>
          <w:tblCellMar>
            <w:top w:w="0" w:type="dxa"/>
            <w:left w:w="108" w:type="dxa"/>
            <w:bottom w:w="0" w:type="dxa"/>
            <w:right w:w="108" w:type="dxa"/>
          </w:tblCellMar>
        </w:tblPrEx>
        <w:trPr>
          <w:trHeight w:val="275"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9792">
            <w:pPr>
              <w:widowControl/>
              <w:spacing w:line="240" w:lineRule="auto"/>
              <w:ind w:firstLine="0" w:firstLineChars="0"/>
              <w:jc w:val="center"/>
              <w:textAlignment w:val="center"/>
              <w:rPr>
                <w:rFonts w:ascii="Times New Roman" w:hAnsi="Times New Roman" w:eastAsia="方正黑体_GBK" w:cs="Times New Roman"/>
                <w:color w:val="000000"/>
                <w:sz w:val="21"/>
                <w:szCs w:val="21"/>
              </w:rPr>
            </w:pPr>
            <w:r>
              <w:rPr>
                <w:rFonts w:ascii="Times New Roman" w:hAnsi="Times New Roman" w:eastAsia="方正黑体_GBK" w:cs="Times New Roman"/>
                <w:color w:val="000000"/>
                <w:kern w:val="0"/>
                <w:sz w:val="21"/>
                <w:szCs w:val="21"/>
              </w:rPr>
              <w:t>指标</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8EA3">
            <w:pPr>
              <w:widowControl/>
              <w:spacing w:line="240" w:lineRule="auto"/>
              <w:ind w:firstLine="0" w:firstLineChars="0"/>
              <w:jc w:val="center"/>
              <w:textAlignment w:val="center"/>
              <w:rPr>
                <w:rFonts w:ascii="Times New Roman" w:hAnsi="Times New Roman" w:eastAsia="方正黑体_GBK" w:cs="Times New Roman"/>
                <w:color w:val="000000"/>
                <w:sz w:val="21"/>
                <w:szCs w:val="21"/>
              </w:rPr>
            </w:pPr>
            <w:r>
              <w:rPr>
                <w:rFonts w:ascii="Times New Roman" w:hAnsi="Times New Roman" w:eastAsia="方正黑体_GBK" w:cs="Times New Roman"/>
                <w:color w:val="000000"/>
                <w:kern w:val="0"/>
                <w:sz w:val="21"/>
                <w:szCs w:val="21"/>
              </w:rPr>
              <w:t>权重</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53D5">
            <w:pPr>
              <w:widowControl/>
              <w:spacing w:line="240" w:lineRule="auto"/>
              <w:ind w:firstLine="0" w:firstLineChars="0"/>
              <w:jc w:val="center"/>
              <w:textAlignment w:val="center"/>
              <w:rPr>
                <w:rFonts w:ascii="Times New Roman" w:hAnsi="Times New Roman" w:eastAsia="方正黑体_GBK" w:cs="Times New Roman"/>
                <w:color w:val="000000"/>
                <w:sz w:val="21"/>
                <w:szCs w:val="21"/>
              </w:rPr>
            </w:pPr>
            <w:r>
              <w:rPr>
                <w:rFonts w:ascii="Times New Roman" w:hAnsi="Times New Roman" w:eastAsia="方正黑体_GBK" w:cs="Times New Roman"/>
                <w:color w:val="000000"/>
                <w:kern w:val="0"/>
                <w:sz w:val="21"/>
                <w:szCs w:val="21"/>
              </w:rPr>
              <w:t>得分</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26E9">
            <w:pPr>
              <w:widowControl/>
              <w:spacing w:line="240" w:lineRule="auto"/>
              <w:ind w:firstLine="0" w:firstLineChars="0"/>
              <w:jc w:val="center"/>
              <w:textAlignment w:val="center"/>
              <w:rPr>
                <w:rFonts w:ascii="Times New Roman" w:hAnsi="Times New Roman" w:eastAsia="方正黑体_GBK" w:cs="Times New Roman"/>
                <w:color w:val="000000"/>
                <w:sz w:val="21"/>
                <w:szCs w:val="21"/>
              </w:rPr>
            </w:pPr>
            <w:r>
              <w:rPr>
                <w:rFonts w:ascii="Times New Roman" w:hAnsi="Times New Roman" w:eastAsia="方正黑体_GBK" w:cs="Times New Roman"/>
                <w:color w:val="000000"/>
                <w:kern w:val="0"/>
                <w:sz w:val="21"/>
                <w:szCs w:val="21"/>
              </w:rPr>
              <w:t>得分率</w:t>
            </w:r>
          </w:p>
        </w:tc>
      </w:tr>
      <w:tr w14:paraId="0665A400">
        <w:tblPrEx>
          <w:tblCellMar>
            <w:top w:w="0" w:type="dxa"/>
            <w:left w:w="108" w:type="dxa"/>
            <w:bottom w:w="0" w:type="dxa"/>
            <w:right w:w="108" w:type="dxa"/>
          </w:tblCellMar>
        </w:tblPrEx>
        <w:trPr>
          <w:trHeight w:val="275"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60B1">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决策</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6D97">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10</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A628">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10</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865E">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100.00%</w:t>
            </w:r>
          </w:p>
        </w:tc>
      </w:tr>
      <w:tr w14:paraId="0F827AC1">
        <w:tblPrEx>
          <w:tblCellMar>
            <w:top w:w="0" w:type="dxa"/>
            <w:left w:w="108" w:type="dxa"/>
            <w:bottom w:w="0" w:type="dxa"/>
            <w:right w:w="108" w:type="dxa"/>
          </w:tblCellMar>
        </w:tblPrEx>
        <w:trPr>
          <w:trHeight w:val="275"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11A7">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过程</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9248">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23</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E598">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19.76</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D9EF">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85.91%</w:t>
            </w:r>
          </w:p>
        </w:tc>
      </w:tr>
      <w:tr w14:paraId="1F4B25FA">
        <w:tblPrEx>
          <w:tblCellMar>
            <w:top w:w="0" w:type="dxa"/>
            <w:left w:w="108" w:type="dxa"/>
            <w:bottom w:w="0" w:type="dxa"/>
            <w:right w:w="108" w:type="dxa"/>
          </w:tblCellMar>
        </w:tblPrEx>
        <w:trPr>
          <w:trHeight w:val="275"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4614">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产出</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3A13">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40</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7478">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38.06</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0D77">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95.15%</w:t>
            </w:r>
          </w:p>
        </w:tc>
      </w:tr>
      <w:tr w14:paraId="02D702F8">
        <w:tblPrEx>
          <w:tblCellMar>
            <w:top w:w="0" w:type="dxa"/>
            <w:left w:w="108" w:type="dxa"/>
            <w:bottom w:w="0" w:type="dxa"/>
            <w:right w:w="108" w:type="dxa"/>
          </w:tblCellMar>
        </w:tblPrEx>
        <w:trPr>
          <w:trHeight w:val="90"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53FE">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效益</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ADBC">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27</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F2A7">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24</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FA92">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88.89%</w:t>
            </w:r>
          </w:p>
        </w:tc>
      </w:tr>
      <w:tr w14:paraId="31F4DE92">
        <w:tblPrEx>
          <w:tblCellMar>
            <w:top w:w="0" w:type="dxa"/>
            <w:left w:w="108" w:type="dxa"/>
            <w:bottom w:w="0" w:type="dxa"/>
            <w:right w:w="108" w:type="dxa"/>
          </w:tblCellMar>
        </w:tblPrEx>
        <w:trPr>
          <w:trHeight w:val="275"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4955">
            <w:pPr>
              <w:widowControl/>
              <w:spacing w:line="240" w:lineRule="auto"/>
              <w:ind w:firstLine="0" w:firstLineChars="0"/>
              <w:jc w:val="center"/>
              <w:textAlignment w:val="center"/>
              <w:rPr>
                <w:rFonts w:ascii="Times New Roman" w:hAnsi="Times New Roman" w:cs="Times New Roman"/>
                <w:b/>
                <w:bCs/>
                <w:color w:val="000000"/>
                <w:kern w:val="0"/>
                <w:sz w:val="21"/>
                <w:szCs w:val="21"/>
              </w:rPr>
            </w:pPr>
            <w:r>
              <w:rPr>
                <w:rFonts w:ascii="Times New Roman" w:hAnsi="Times New Roman" w:cs="Times New Roman"/>
                <w:b/>
                <w:bCs/>
                <w:color w:val="000000"/>
                <w:kern w:val="0"/>
                <w:sz w:val="21"/>
                <w:szCs w:val="21"/>
              </w:rPr>
              <w:t>小计</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F23F">
            <w:pPr>
              <w:widowControl/>
              <w:spacing w:line="240" w:lineRule="auto"/>
              <w:ind w:firstLine="0" w:firstLineChars="0"/>
              <w:jc w:val="center"/>
              <w:textAlignment w:val="center"/>
              <w:rPr>
                <w:rFonts w:ascii="Times New Roman" w:hAnsi="Times New Roman" w:cs="Times New Roman"/>
                <w:b/>
                <w:bCs/>
                <w:color w:val="000000"/>
                <w:kern w:val="0"/>
                <w:sz w:val="21"/>
                <w:szCs w:val="21"/>
              </w:rPr>
            </w:pPr>
            <w:r>
              <w:rPr>
                <w:rFonts w:ascii="Times New Roman" w:hAnsi="Times New Roman" w:cs="Times New Roman"/>
                <w:b/>
                <w:bCs/>
                <w:color w:val="000000"/>
                <w:kern w:val="0"/>
                <w:sz w:val="21"/>
                <w:szCs w:val="21"/>
              </w:rPr>
              <w:t>100</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6107">
            <w:pPr>
              <w:widowControl/>
              <w:spacing w:line="240" w:lineRule="auto"/>
              <w:ind w:firstLine="0" w:firstLineChars="0"/>
              <w:jc w:val="center"/>
              <w:textAlignment w:val="center"/>
              <w:rPr>
                <w:rFonts w:ascii="Times New Roman" w:hAnsi="Times New Roman" w:cs="Times New Roman"/>
                <w:b/>
                <w:bCs/>
                <w:color w:val="000000"/>
                <w:kern w:val="0"/>
                <w:sz w:val="21"/>
                <w:szCs w:val="21"/>
              </w:rPr>
            </w:pPr>
            <w:r>
              <w:rPr>
                <w:rFonts w:ascii="Times New Roman" w:hAnsi="Times New Roman" w:cs="Times New Roman"/>
                <w:b/>
                <w:bCs/>
                <w:color w:val="000000"/>
                <w:kern w:val="0"/>
                <w:sz w:val="21"/>
                <w:szCs w:val="21"/>
              </w:rPr>
              <w:t>91.55</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7698">
            <w:pPr>
              <w:widowControl/>
              <w:spacing w:line="240" w:lineRule="auto"/>
              <w:ind w:firstLine="0" w:firstLineChars="0"/>
              <w:jc w:val="center"/>
              <w:textAlignment w:val="center"/>
              <w:rPr>
                <w:rFonts w:ascii="Times New Roman" w:hAnsi="Times New Roman" w:cs="Times New Roman"/>
                <w:b/>
                <w:bCs/>
                <w:color w:val="000000"/>
                <w:kern w:val="0"/>
                <w:sz w:val="21"/>
                <w:szCs w:val="21"/>
              </w:rPr>
            </w:pPr>
            <w:r>
              <w:rPr>
                <w:rFonts w:ascii="Times New Roman" w:hAnsi="Times New Roman" w:cs="Times New Roman"/>
                <w:b/>
                <w:bCs/>
                <w:color w:val="000000"/>
                <w:kern w:val="0"/>
                <w:sz w:val="21"/>
                <w:szCs w:val="21"/>
              </w:rPr>
              <w:t>91.83%</w:t>
            </w:r>
          </w:p>
        </w:tc>
      </w:tr>
      <w:tr w14:paraId="5B9B3789">
        <w:tblPrEx>
          <w:tblCellMar>
            <w:top w:w="0" w:type="dxa"/>
            <w:left w:w="108" w:type="dxa"/>
            <w:bottom w:w="0" w:type="dxa"/>
            <w:right w:w="108" w:type="dxa"/>
          </w:tblCellMar>
        </w:tblPrEx>
        <w:trPr>
          <w:trHeight w:val="275"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363D">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加减分项</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614D">
            <w:pPr>
              <w:widowControl/>
              <w:spacing w:line="240" w:lineRule="auto"/>
              <w:ind w:firstLine="0" w:firstLineChars="0"/>
              <w:jc w:val="center"/>
              <w:rPr>
                <w:rFonts w:ascii="Times New Roman" w:hAnsi="Times New Roman" w:cs="Times New Roman"/>
                <w:color w:val="000000"/>
                <w:sz w:val="21"/>
                <w:szCs w:val="21"/>
              </w:rPr>
            </w:pP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AF4A">
            <w:pPr>
              <w:widowControl/>
              <w:spacing w:line="240" w:lineRule="auto"/>
              <w:ind w:firstLine="0" w:firstLineChars="0"/>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1</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00D6">
            <w:pPr>
              <w:widowControl/>
              <w:spacing w:line="240" w:lineRule="auto"/>
              <w:ind w:firstLine="0" w:firstLineChars="0"/>
              <w:jc w:val="center"/>
              <w:rPr>
                <w:rFonts w:ascii="Times New Roman" w:hAnsi="Times New Roman" w:cs="Times New Roman"/>
                <w:color w:val="000000"/>
                <w:sz w:val="21"/>
                <w:szCs w:val="21"/>
              </w:rPr>
            </w:pPr>
          </w:p>
        </w:tc>
      </w:tr>
      <w:tr w14:paraId="1F852031">
        <w:tblPrEx>
          <w:tblCellMar>
            <w:top w:w="0" w:type="dxa"/>
            <w:left w:w="108" w:type="dxa"/>
            <w:bottom w:w="0" w:type="dxa"/>
            <w:right w:w="108" w:type="dxa"/>
          </w:tblCellMar>
        </w:tblPrEx>
        <w:trPr>
          <w:trHeight w:val="275" w:hRule="atLeast"/>
        </w:trPr>
        <w:tc>
          <w:tcPr>
            <w:tcW w:w="1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74E6">
            <w:pPr>
              <w:widowControl/>
              <w:spacing w:line="240" w:lineRule="auto"/>
              <w:ind w:firstLine="0" w:firstLineChars="0"/>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rPr>
              <w:t>合计</w:t>
            </w:r>
          </w:p>
        </w:tc>
        <w:tc>
          <w:tcPr>
            <w:tcW w:w="10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AD16">
            <w:pPr>
              <w:widowControl/>
              <w:spacing w:line="240" w:lineRule="auto"/>
              <w:ind w:firstLine="0" w:firstLineChars="0"/>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rPr>
              <w:t>100</w:t>
            </w:r>
          </w:p>
        </w:tc>
        <w:tc>
          <w:tcPr>
            <w:tcW w:w="11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27C6">
            <w:pPr>
              <w:widowControl/>
              <w:spacing w:line="240" w:lineRule="auto"/>
              <w:ind w:firstLine="0" w:firstLineChars="0"/>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rPr>
              <w:t>92.55</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74EB">
            <w:pPr>
              <w:widowControl/>
              <w:spacing w:line="240" w:lineRule="auto"/>
              <w:ind w:firstLine="0" w:firstLineChars="0"/>
              <w:jc w:val="center"/>
              <w:textAlignment w:val="center"/>
              <w:rPr>
                <w:rFonts w:ascii="Times New Roman" w:hAnsi="Times New Roman" w:cs="Times New Roman"/>
                <w:b/>
                <w:bCs/>
                <w:color w:val="000000"/>
                <w:sz w:val="21"/>
                <w:szCs w:val="21"/>
              </w:rPr>
            </w:pPr>
            <w:r>
              <w:rPr>
                <w:rFonts w:ascii="Times New Roman" w:hAnsi="Times New Roman" w:cs="Times New Roman"/>
                <w:b/>
                <w:bCs/>
                <w:color w:val="000000"/>
                <w:kern w:val="0"/>
                <w:sz w:val="21"/>
                <w:szCs w:val="21"/>
              </w:rPr>
              <w:t>92.83%</w:t>
            </w:r>
          </w:p>
        </w:tc>
      </w:tr>
    </w:tbl>
    <w:p w14:paraId="2088311B">
      <w:pPr>
        <w:pStyle w:val="2"/>
        <w:ind w:firstLine="640"/>
        <w:rPr>
          <w:rFonts w:ascii="Times New Roman" w:hAnsi="Times New Roman" w:cs="Times New Roman"/>
          <w:szCs w:val="32"/>
        </w:rPr>
      </w:pPr>
      <w:bookmarkStart w:id="60" w:name="_Toc29390"/>
      <w:bookmarkStart w:id="61" w:name="_Toc169773115"/>
      <w:bookmarkStart w:id="62" w:name="_Toc170474496"/>
      <w:r>
        <w:rPr>
          <w:rFonts w:ascii="Times New Roman" w:hAnsi="Times New Roman" w:cs="Times New Roman"/>
          <w:szCs w:val="32"/>
        </w:rPr>
        <w:t>三、部门履职成效</w:t>
      </w:r>
      <w:bookmarkEnd w:id="60"/>
      <w:bookmarkEnd w:id="61"/>
      <w:bookmarkEnd w:id="62"/>
    </w:p>
    <w:p w14:paraId="45733D2A">
      <w:pPr>
        <w:pStyle w:val="3"/>
        <w:spacing w:line="520" w:lineRule="exact"/>
        <w:ind w:firstLine="640"/>
        <w:rPr>
          <w:rFonts w:ascii="Times New Roman" w:hAnsi="Times New Roman" w:eastAsia="方正楷体_GBK" w:cs="Times New Roman"/>
        </w:rPr>
      </w:pPr>
      <w:bookmarkStart w:id="63" w:name="_Toc29658"/>
      <w:r>
        <w:rPr>
          <w:rFonts w:ascii="Times New Roman" w:hAnsi="Times New Roman" w:eastAsia="方正楷体_GBK" w:cs="Times New Roman"/>
        </w:rPr>
        <w:t>（一）强化顶层设计</w:t>
      </w:r>
      <w:bookmarkEnd w:id="63"/>
    </w:p>
    <w:p w14:paraId="4B9AD8C6">
      <w:pPr>
        <w:ind w:firstLine="640"/>
        <w:rPr>
          <w:rFonts w:ascii="Times New Roman" w:hAnsi="Times New Roman" w:cs="Times New Roman"/>
          <w:sz w:val="32"/>
          <w:szCs w:val="32"/>
        </w:rPr>
      </w:pPr>
      <w:r>
        <w:rPr>
          <w:rFonts w:ascii="Times New Roman" w:hAnsi="Times New Roman" w:cs="Times New Roman"/>
          <w:sz w:val="32"/>
          <w:szCs w:val="32"/>
        </w:rPr>
        <w:t>编制年度计划目标。科学编制年度国民经济和社会发展工作思路建议、计划，重大项目、政府投资项目、民生实事项目等各类计划目标，有序推进各项重点任务。启动“十五五”规划编制。跟进“十五五”规划任务进展情况。全面启动全市“十五五”规划编制工作，开展“十五五”前期课题研究，形成研究成果。起草“十五五”规划基本思路。推荐上报南京重大工程项目，争取纳入国家“十五五”规划。</w:t>
      </w:r>
    </w:p>
    <w:p w14:paraId="6330B3DE">
      <w:pPr>
        <w:pStyle w:val="3"/>
        <w:spacing w:line="520" w:lineRule="exact"/>
        <w:ind w:firstLine="640"/>
        <w:rPr>
          <w:rFonts w:ascii="Times New Roman" w:hAnsi="Times New Roman" w:eastAsia="方正楷体_GBK" w:cs="Times New Roman"/>
        </w:rPr>
      </w:pPr>
      <w:bookmarkStart w:id="64" w:name="_Toc31554"/>
      <w:r>
        <w:rPr>
          <w:rFonts w:ascii="Times New Roman" w:hAnsi="Times New Roman" w:eastAsia="方正楷体_GBK" w:cs="Times New Roman"/>
        </w:rPr>
        <w:t>（二）推动经济形势向好</w:t>
      </w:r>
      <w:bookmarkEnd w:id="64"/>
    </w:p>
    <w:p w14:paraId="44D87176">
      <w:pPr>
        <w:ind w:firstLine="640"/>
        <w:rPr>
          <w:rFonts w:ascii="Times New Roman" w:hAnsi="Times New Roman" w:cs="Times New Roman"/>
          <w:sz w:val="32"/>
          <w:szCs w:val="40"/>
        </w:rPr>
      </w:pPr>
      <w:r>
        <w:rPr>
          <w:rFonts w:ascii="Times New Roman" w:hAnsi="Times New Roman" w:cs="Times New Roman"/>
          <w:sz w:val="32"/>
          <w:szCs w:val="40"/>
        </w:rPr>
        <w:t>推动政策落实。推动经济运行率先整体好转“33条”、全力促进经济持续回升向好“23条”等存量政策落地见效。落实国省密集出台的“一揽子”稳增长政策，出台我市巩固增强经济回升向好态势若干政策措施及实施细则等增量政策，接续打好政策“组合拳”。优化经济组织。研究制定《2024年全市经济工作组织方案》，加密经济形势研判分析，形成各类会议经济形势汇报材料50余篇，为市委、市政府提供经济决策参考。优化市对区考核，统筹引导各区突出优势、弥补短板，推动全市经济运行呈现总体平稳、逐季改善的基本态势，预计全年经济实现4.5%左右的增长。</w:t>
      </w:r>
    </w:p>
    <w:p w14:paraId="217B7BA5">
      <w:pPr>
        <w:pStyle w:val="3"/>
        <w:spacing w:line="520" w:lineRule="exact"/>
        <w:ind w:firstLine="640"/>
        <w:rPr>
          <w:rFonts w:ascii="Times New Roman" w:hAnsi="Times New Roman" w:eastAsia="方正楷体_GBK" w:cs="Times New Roman"/>
        </w:rPr>
      </w:pPr>
      <w:bookmarkStart w:id="65" w:name="_Toc32082"/>
      <w:r>
        <w:rPr>
          <w:rFonts w:ascii="Times New Roman" w:hAnsi="Times New Roman" w:eastAsia="方正楷体_GBK" w:cs="Times New Roman"/>
        </w:rPr>
        <w:t>（三）推动项目建设提质</w:t>
      </w:r>
      <w:bookmarkEnd w:id="65"/>
    </w:p>
    <w:p w14:paraId="192AA9A1">
      <w:pPr>
        <w:ind w:firstLine="640"/>
        <w:rPr>
          <w:rFonts w:ascii="Times New Roman" w:hAnsi="Times New Roman" w:cs="Times New Roman"/>
          <w:sz w:val="32"/>
          <w:szCs w:val="40"/>
        </w:rPr>
      </w:pPr>
      <w:r>
        <w:rPr>
          <w:rFonts w:ascii="Times New Roman" w:hAnsi="Times New Roman" w:cs="Times New Roman"/>
          <w:sz w:val="32"/>
          <w:szCs w:val="40"/>
        </w:rPr>
        <w:t>推动重大项目加速度。56个省重大项目、450个市重大项目分别完成年度投资计划的100.4%、98.7%，金陵石化高端日化品、扬子扬巴轻烃综合利用等百亿级产业项目以及南京北站枢纽等标志性基础设施项目开工建设。举办2024年“金洽会”重大项目签约仪式，48个项目上会签约，签约金额677亿元。提高“两重”“两新”谋划精准度。密切跟踪国家政策方向，抢抓机遇，组织项目申报，“两重”领域，39个项目获反馈、资金需求30.1亿元。95个项目发行地方政府专项债券176.41亿元。“两新”领域，获批国债项目15个，支持资金6.61亿元。同时，软硬结合，做好明年项目谋划储备工作。推动盘存项目活跃度。盘活市级库存量资产资源项目338个，预计可获得资金收入超125亿元、带动新增固定资产投资达290亿元。建邺国际研发总部园、南京绕越高速公路东南段两个REITs项目正式获批发行。</w:t>
      </w:r>
    </w:p>
    <w:p w14:paraId="2ADCEC51">
      <w:pPr>
        <w:pStyle w:val="3"/>
        <w:spacing w:line="520" w:lineRule="exact"/>
        <w:ind w:firstLine="640"/>
        <w:rPr>
          <w:rFonts w:ascii="Times New Roman" w:hAnsi="Times New Roman" w:eastAsia="方正楷体_GBK" w:cs="Times New Roman"/>
        </w:rPr>
      </w:pPr>
      <w:bookmarkStart w:id="66" w:name="_Toc18040"/>
      <w:r>
        <w:rPr>
          <w:rFonts w:ascii="Times New Roman" w:hAnsi="Times New Roman" w:eastAsia="方正楷体_GBK" w:cs="Times New Roman"/>
        </w:rPr>
        <w:t>（四）驱动产业转型升级</w:t>
      </w:r>
      <w:bookmarkEnd w:id="66"/>
    </w:p>
    <w:p w14:paraId="54F5D39A">
      <w:pPr>
        <w:ind w:firstLine="640"/>
        <w:rPr>
          <w:rFonts w:ascii="Times New Roman" w:hAnsi="Times New Roman" w:cs="Times New Roman"/>
          <w:sz w:val="32"/>
          <w:szCs w:val="40"/>
        </w:rPr>
      </w:pPr>
      <w:r>
        <w:rPr>
          <w:rFonts w:ascii="Times New Roman" w:hAnsi="Times New Roman" w:cs="Times New Roman"/>
          <w:sz w:val="32"/>
          <w:szCs w:val="40"/>
        </w:rPr>
        <w:t>推动产业向新，服务“东数西算”工程，聚焦重大科技基础设施建设，推动CENI等重大科技创新成果转化应用。聚焦战新和未来产业，组织推荐18家企业入选省级工程研究中心。成功获批6个省级未来产业先行集聚发展试点。构建2000亿元“4+N”产业基金集群助力战新产业提速发展。抢抓低空经济机遇，制定出台全市低空经济高质量发展实施方案。低空经济产业重点项目基金签约68个，总投资420余亿元。推动产业向优，做好工业重点企业运行监测，推动传统制造业升级，积极争取南钢粗钢年度产量指标调增35万吨，增加产值约17亿元。推动扬子扬巴轻烃综合利用等百亿级产业项目开工。促进服务业赋能提质，制定印发《南京市服务业赋能提质工作方案》，提速建设现代服务业“3+3+3”产业体系。推动平台经济健康持续发展，汇通达等4家平台企业入选全国互联网百强企业榜单。专班推动总部经济工作、集成电路产业发展。推进军民融合产业发展。推动产业向绿，印发实施《南京市碳达峰实施方案》，推动落实国家和省级“双碳”、废旧物资循环利用试点任务。统筹能耗要素保障，加强能评服务、“两高”项目管理。加快推进生态产品价值实现试点。支持新能源建设，全市光伏持续扩容。</w:t>
      </w:r>
    </w:p>
    <w:p w14:paraId="7B7545E1">
      <w:pPr>
        <w:pStyle w:val="3"/>
        <w:spacing w:line="520" w:lineRule="exact"/>
        <w:ind w:firstLine="640"/>
        <w:rPr>
          <w:rFonts w:ascii="Times New Roman" w:hAnsi="Times New Roman" w:eastAsia="方正楷体_GBK" w:cs="Times New Roman"/>
        </w:rPr>
      </w:pPr>
      <w:bookmarkStart w:id="67" w:name="_Toc29809"/>
      <w:r>
        <w:rPr>
          <w:rFonts w:ascii="Times New Roman" w:hAnsi="Times New Roman" w:eastAsia="方正楷体_GBK" w:cs="Times New Roman"/>
        </w:rPr>
        <w:t>（五）推动重点改革任务落实</w:t>
      </w:r>
      <w:bookmarkEnd w:id="67"/>
    </w:p>
    <w:p w14:paraId="60B1C53A">
      <w:pPr>
        <w:ind w:firstLine="640"/>
        <w:rPr>
          <w:rFonts w:ascii="Times New Roman" w:hAnsi="Times New Roman" w:cs="Times New Roman"/>
          <w:sz w:val="32"/>
          <w:szCs w:val="40"/>
        </w:rPr>
      </w:pPr>
      <w:r>
        <w:rPr>
          <w:rFonts w:ascii="Times New Roman" w:hAnsi="Times New Roman" w:cs="Times New Roman"/>
          <w:sz w:val="32"/>
          <w:szCs w:val="40"/>
        </w:rPr>
        <w:t>谋划改革落实举措。深入学习党的二十届三中全会《决定》精神，突出经济体制改革牵引，深入谋划全面深化改革的思路举措。推动服务构建统一大市场、招商防内卷等具体改革任务。持续优化营商环境。推动落实《南京市2024年优化营商环境工作要点》，不断推动具体任务落实，场景落地，发布2024年优化营商环境创新应用场景五批共计60个。加大监督检查，规范招投标市场环境。健全社会信用体系。推行企业以专用信用报告替代有无违法记录证明。深化信用修复“不见面办理”，年度指导和帮助2488家企业完成信用修复信息5257条。推动“信易贷”融资信用服务，年度帮助全市5240户企业融资318.09亿元。</w:t>
      </w:r>
    </w:p>
    <w:p w14:paraId="1365C615">
      <w:pPr>
        <w:pStyle w:val="3"/>
        <w:spacing w:line="520" w:lineRule="exact"/>
        <w:ind w:firstLine="640"/>
        <w:rPr>
          <w:rFonts w:ascii="Times New Roman" w:hAnsi="Times New Roman" w:eastAsia="方正楷体_GBK" w:cs="Times New Roman"/>
        </w:rPr>
      </w:pPr>
      <w:bookmarkStart w:id="68" w:name="_Toc10232"/>
      <w:r>
        <w:rPr>
          <w:rFonts w:ascii="Times New Roman" w:hAnsi="Times New Roman" w:eastAsia="方正楷体_GBK" w:cs="Times New Roman"/>
        </w:rPr>
        <w:t>（六）推动国家重大战略落地</w:t>
      </w:r>
      <w:bookmarkEnd w:id="68"/>
    </w:p>
    <w:p w14:paraId="034E2F87">
      <w:pPr>
        <w:ind w:firstLine="640"/>
        <w:rPr>
          <w:rFonts w:ascii="Times New Roman" w:hAnsi="Times New Roman" w:cs="Times New Roman"/>
          <w:sz w:val="32"/>
          <w:szCs w:val="40"/>
        </w:rPr>
      </w:pPr>
      <w:r>
        <w:rPr>
          <w:rFonts w:ascii="Times New Roman" w:hAnsi="Times New Roman" w:cs="Times New Roman"/>
          <w:sz w:val="32"/>
          <w:szCs w:val="40"/>
        </w:rPr>
        <w:t>推动高水平开放。推动召开市推进“一带一路”建设工作领导小组会议，印发《南京市高质量推进“一带一路”交汇点重要枢纽城市建设2024年工作要点》。强化中阿（联酋）产能合作示范园建设，印发专项支持政策，推动东信泰克、开沃新能源企业落户。推动区域间融合。召开市推进长三角一体化发展领导小组会议，配合推动长三角一体化发展规划、“</w:t>
      </w:r>
      <w:bookmarkStart w:id="96" w:name="_GoBack"/>
      <w:bookmarkEnd w:id="96"/>
      <w:r>
        <w:rPr>
          <w:rFonts w:ascii="Times New Roman" w:hAnsi="Times New Roman" w:cs="Times New Roman"/>
          <w:sz w:val="32"/>
          <w:szCs w:val="40"/>
        </w:rPr>
        <w:t>十四五”实施方案重大项目、苏皖合作重点项目建设。会同各成员城市联合编制《南京都市圈2024年度工作要点》，建设现代化南京都市圈。持续做好东西部协作和对口支援合作工作。推动长江大保护。持续改善长江生态。制定出台《推动长江经济带发展年度重点工作安排》。组织《长江经济带发展规划纲要》等落实情况评估。强化《</w:t>
      </w:r>
      <w:r>
        <w:rPr>
          <w:rFonts w:hint="eastAsia" w:ascii="Times New Roman" w:hAnsi="Times New Roman" w:cs="Times New Roman"/>
          <w:sz w:val="32"/>
          <w:szCs w:val="40"/>
          <w:lang w:eastAsia="zh-CN"/>
        </w:rPr>
        <w:t>中华人民共和国长江保护法</w:t>
      </w:r>
      <w:r>
        <w:rPr>
          <w:rFonts w:ascii="Times New Roman" w:hAnsi="Times New Roman" w:cs="Times New Roman"/>
          <w:sz w:val="32"/>
          <w:szCs w:val="40"/>
        </w:rPr>
        <w:t>》宣传普及。</w:t>
      </w:r>
    </w:p>
    <w:p w14:paraId="220B937A">
      <w:pPr>
        <w:pStyle w:val="3"/>
        <w:spacing w:line="520" w:lineRule="exact"/>
        <w:ind w:firstLine="640"/>
        <w:rPr>
          <w:rFonts w:ascii="Times New Roman" w:hAnsi="Times New Roman" w:eastAsia="方正楷体_GBK" w:cs="Times New Roman"/>
        </w:rPr>
      </w:pPr>
      <w:bookmarkStart w:id="69" w:name="_Toc2050"/>
      <w:r>
        <w:rPr>
          <w:rFonts w:ascii="Times New Roman" w:hAnsi="Times New Roman" w:eastAsia="方正楷体_GBK" w:cs="Times New Roman"/>
        </w:rPr>
        <w:t>（七）推动重点领域保障</w:t>
      </w:r>
      <w:bookmarkEnd w:id="69"/>
    </w:p>
    <w:p w14:paraId="66C7A3FC">
      <w:pPr>
        <w:ind w:firstLine="640"/>
        <w:rPr>
          <w:rFonts w:ascii="Times New Roman" w:hAnsi="Times New Roman" w:cs="Times New Roman"/>
          <w:sz w:val="32"/>
          <w:szCs w:val="40"/>
        </w:rPr>
      </w:pPr>
      <w:r>
        <w:rPr>
          <w:rFonts w:ascii="Times New Roman" w:hAnsi="Times New Roman" w:cs="Times New Roman"/>
          <w:sz w:val="32"/>
          <w:szCs w:val="40"/>
        </w:rPr>
        <w:t>保障民生底线。办好年度民生实事，年度40项民生实事项目顺利完成。基本公共服务水平指数连续7年排名全省第一，发展指数首次跃居全省第一。加快促进城乡融合，乡村振兴，推动富民增收，城区优质服务资源向乡镇延伸和倾斜，全体居民人均可支配收入继续走在全省、全国前列，城乡居民收入比持续缩小。保障安全底线。夯实粮食安全根基，有序推进粮食收购。全社会全年累计收购小麦18.6万吨，圆满完成夏收和轮换任务；收购稻谷23万吨，市场秩序保持稳定。化解社会安全风险。强化民生兜底保障，关注CPI、SCPI，落实社会救助和保障标准与物价上涨挂钩联动机制。优化调整全市自来水价格政策。</w:t>
      </w:r>
    </w:p>
    <w:p w14:paraId="78AC07CF">
      <w:pPr>
        <w:pStyle w:val="2"/>
        <w:ind w:firstLine="640"/>
        <w:rPr>
          <w:rFonts w:ascii="Times New Roman" w:hAnsi="Times New Roman" w:eastAsia="黑体" w:cs="Times New Roman"/>
          <w:szCs w:val="32"/>
        </w:rPr>
      </w:pPr>
      <w:bookmarkStart w:id="70" w:name="_Toc9170"/>
      <w:bookmarkStart w:id="71" w:name="_Toc21718"/>
      <w:bookmarkStart w:id="72" w:name="_Toc4902"/>
      <w:bookmarkStart w:id="73" w:name="_Toc169773123"/>
      <w:bookmarkStart w:id="74" w:name="_Toc15796"/>
      <w:bookmarkStart w:id="75" w:name="_Toc27280"/>
      <w:bookmarkStart w:id="76" w:name="_Toc12363"/>
      <w:bookmarkStart w:id="77" w:name="_Toc170474504"/>
      <w:bookmarkStart w:id="78" w:name="_Toc7987"/>
      <w:r>
        <w:rPr>
          <w:rFonts w:ascii="Times New Roman" w:hAnsi="Times New Roman" w:eastAsia="黑体" w:cs="Times New Roman"/>
          <w:szCs w:val="32"/>
        </w:rPr>
        <w:t>四、存在问题</w:t>
      </w:r>
      <w:bookmarkEnd w:id="70"/>
      <w:bookmarkEnd w:id="71"/>
      <w:bookmarkEnd w:id="72"/>
      <w:bookmarkEnd w:id="73"/>
      <w:bookmarkEnd w:id="74"/>
      <w:bookmarkEnd w:id="75"/>
      <w:bookmarkEnd w:id="76"/>
      <w:bookmarkEnd w:id="77"/>
      <w:r>
        <w:rPr>
          <w:rFonts w:ascii="Times New Roman" w:hAnsi="Times New Roman" w:eastAsia="黑体" w:cs="Times New Roman"/>
          <w:szCs w:val="32"/>
        </w:rPr>
        <w:t>及原因</w:t>
      </w:r>
      <w:r>
        <w:rPr>
          <w:rFonts w:hint="eastAsia" w:ascii="Times New Roman" w:hAnsi="Times New Roman" w:eastAsia="黑体" w:cs="Times New Roman"/>
          <w:szCs w:val="32"/>
        </w:rPr>
        <w:t>分析</w:t>
      </w:r>
      <w:bookmarkEnd w:id="78"/>
    </w:p>
    <w:p w14:paraId="3B802773">
      <w:pPr>
        <w:pStyle w:val="3"/>
        <w:spacing w:line="520" w:lineRule="exact"/>
        <w:ind w:firstLine="640"/>
        <w:rPr>
          <w:rFonts w:ascii="Times New Roman" w:hAnsi="Times New Roman" w:eastAsia="方正楷体_GBK" w:cs="Times New Roman"/>
        </w:rPr>
      </w:pPr>
      <w:bookmarkStart w:id="79" w:name="_Toc32290"/>
      <w:r>
        <w:rPr>
          <w:rFonts w:ascii="Times New Roman" w:hAnsi="Times New Roman" w:eastAsia="方正楷体_GBK" w:cs="Times New Roman"/>
        </w:rPr>
        <w:t>（一）绩效目标编制有待进一步完善</w:t>
      </w:r>
      <w:bookmarkEnd w:id="79"/>
    </w:p>
    <w:p w14:paraId="6F4C1163">
      <w:pPr>
        <w:ind w:firstLine="640"/>
        <w:rPr>
          <w:rFonts w:ascii="Times New Roman" w:hAnsi="Times New Roman" w:cs="Times New Roman"/>
          <w:sz w:val="32"/>
          <w:szCs w:val="32"/>
        </w:rPr>
      </w:pPr>
      <w:r>
        <w:rPr>
          <w:rFonts w:ascii="Times New Roman" w:hAnsi="Times New Roman" w:cs="Times New Roman"/>
          <w:sz w:val="32"/>
          <w:szCs w:val="32"/>
        </w:rPr>
        <w:t>一是部门运转经费项目年初绩效目标均未设定有效成本指标；二是社会效益指标设定难以有效量化，如个别产出指标的目标值设定为“按年度工作安排时间节点完成各项工作”、个别效益指标的目标值设定为“培训技能提升”“提升政府投资决策水平和投资效益”等难以有效衡量完成情况。</w:t>
      </w:r>
    </w:p>
    <w:p w14:paraId="48C4F83F">
      <w:pPr>
        <w:pStyle w:val="3"/>
        <w:spacing w:line="520" w:lineRule="exact"/>
        <w:ind w:firstLine="640"/>
        <w:rPr>
          <w:rFonts w:ascii="Times New Roman" w:hAnsi="Times New Roman" w:eastAsia="方正楷体_GBK" w:cs="Times New Roman"/>
        </w:rPr>
      </w:pPr>
      <w:bookmarkStart w:id="80" w:name="_Toc21635"/>
      <w:r>
        <w:rPr>
          <w:rFonts w:ascii="Times New Roman" w:hAnsi="Times New Roman" w:eastAsia="方正楷体_GBK" w:cs="Times New Roman"/>
        </w:rPr>
        <w:t>（二）专项资金管理有待进一步加强</w:t>
      </w:r>
      <w:bookmarkEnd w:id="80"/>
    </w:p>
    <w:p w14:paraId="070FF1DA">
      <w:pPr>
        <w:ind w:firstLine="640"/>
        <w:rPr>
          <w:rFonts w:ascii="Times New Roman" w:hAnsi="Times New Roman" w:cs="Times New Roman"/>
          <w:sz w:val="32"/>
          <w:szCs w:val="32"/>
        </w:rPr>
      </w:pPr>
      <w:r>
        <w:rPr>
          <w:rFonts w:ascii="Times New Roman" w:hAnsi="Times New Roman" w:cs="Times New Roman"/>
          <w:sz w:val="32"/>
          <w:szCs w:val="32"/>
        </w:rPr>
        <w:t>一是部分专项资金区级拨付进度存在滞后情况。如总部经济发展专项资金执行过程中，秦淮区未将奖补资金250万元统筹使用，截至评价日，该笔资金存放在秦淮区发展改革委账户中。</w:t>
      </w:r>
    </w:p>
    <w:p w14:paraId="393FE7F2">
      <w:pPr>
        <w:ind w:firstLine="640"/>
        <w:rPr>
          <w:rFonts w:ascii="Times New Roman" w:hAnsi="Times New Roman" w:cs="Times New Roman"/>
          <w:sz w:val="32"/>
          <w:szCs w:val="32"/>
        </w:rPr>
      </w:pPr>
      <w:r>
        <w:rPr>
          <w:rFonts w:ascii="Times New Roman" w:hAnsi="Times New Roman" w:cs="Times New Roman"/>
          <w:sz w:val="32"/>
          <w:szCs w:val="32"/>
        </w:rPr>
        <w:t>二是资金使用方向与申报目标有出入。如基建专项资金执行过程中，固城街道服务中心提升项目申报材料注明该项目为对原有物资仓库进行整修提升，打造街道党群活动、服务中心，实际支出方向主要为垃圾清运保洁服务、会议系统采购、绿化养护服务、办公桌椅采购等，与专项资金支出范围不符。</w:t>
      </w:r>
    </w:p>
    <w:p w14:paraId="4645AF90">
      <w:pPr>
        <w:pStyle w:val="2"/>
        <w:ind w:firstLine="640"/>
        <w:rPr>
          <w:rFonts w:ascii="Times New Roman" w:hAnsi="Times New Roman" w:eastAsia="黑体" w:cs="Times New Roman"/>
          <w:szCs w:val="32"/>
        </w:rPr>
      </w:pPr>
      <w:bookmarkStart w:id="81" w:name="_Toc27318"/>
      <w:bookmarkStart w:id="82" w:name="_Toc5571"/>
      <w:bookmarkStart w:id="83" w:name="_Toc3657"/>
      <w:bookmarkStart w:id="84" w:name="_Toc170474507"/>
      <w:bookmarkStart w:id="85" w:name="_Toc12732"/>
      <w:bookmarkStart w:id="86" w:name="_Toc29533"/>
      <w:bookmarkStart w:id="87" w:name="_Toc3249"/>
      <w:bookmarkStart w:id="88" w:name="_Toc16518"/>
      <w:bookmarkStart w:id="89" w:name="_Toc169773126"/>
      <w:r>
        <w:rPr>
          <w:rFonts w:ascii="Times New Roman" w:hAnsi="Times New Roman" w:eastAsia="黑体" w:cs="Times New Roman"/>
          <w:szCs w:val="32"/>
        </w:rPr>
        <w:t>五、有关建议</w:t>
      </w:r>
      <w:bookmarkEnd w:id="81"/>
      <w:bookmarkEnd w:id="82"/>
      <w:bookmarkEnd w:id="83"/>
      <w:bookmarkEnd w:id="84"/>
      <w:bookmarkEnd w:id="85"/>
      <w:bookmarkEnd w:id="86"/>
      <w:bookmarkEnd w:id="87"/>
      <w:bookmarkEnd w:id="88"/>
      <w:bookmarkEnd w:id="89"/>
    </w:p>
    <w:p w14:paraId="758E76F7">
      <w:pPr>
        <w:pStyle w:val="3"/>
        <w:spacing w:line="520" w:lineRule="exact"/>
        <w:ind w:firstLine="640"/>
        <w:rPr>
          <w:rFonts w:ascii="Times New Roman" w:hAnsi="Times New Roman" w:eastAsia="方正楷体_GBK" w:cs="Times New Roman"/>
        </w:rPr>
      </w:pPr>
      <w:bookmarkStart w:id="90" w:name="_Toc27400"/>
      <w:r>
        <w:rPr>
          <w:rFonts w:ascii="Times New Roman" w:hAnsi="Times New Roman" w:eastAsia="方正楷体_GBK" w:cs="Times New Roman"/>
        </w:rPr>
        <w:t>（一）加强绩效目标编制</w:t>
      </w:r>
      <w:bookmarkEnd w:id="90"/>
    </w:p>
    <w:p w14:paraId="44DDA8F7">
      <w:pPr>
        <w:ind w:firstLine="640"/>
        <w:rPr>
          <w:rFonts w:ascii="Times New Roman" w:hAnsi="Times New Roman" w:cs="Times New Roman"/>
        </w:rPr>
      </w:pPr>
      <w:r>
        <w:rPr>
          <w:rFonts w:ascii="Times New Roman" w:hAnsi="Times New Roman" w:cs="Times New Roman"/>
          <w:sz w:val="32"/>
          <w:szCs w:val="32"/>
        </w:rPr>
        <w:t>量化绩效目标和指标设置。如部门运转经费项目绩效目标增设“人均行政成本”“单项工作成本控制率”等量化指标；产出指标将“按时间节点完成工作”细化为具体时间节点，配套“任务完成及时率”“验收合格率”等硬性标准；效益指标设置“参训人员技能考核通过率”“项目后评价优良率”等可量化目标。</w:t>
      </w:r>
    </w:p>
    <w:p w14:paraId="1E865B2B">
      <w:pPr>
        <w:pStyle w:val="3"/>
        <w:spacing w:line="520" w:lineRule="exact"/>
        <w:ind w:firstLine="640"/>
        <w:rPr>
          <w:rFonts w:ascii="Times New Roman" w:hAnsi="Times New Roman" w:eastAsia="方正楷体_GBK" w:cs="Times New Roman"/>
        </w:rPr>
      </w:pPr>
      <w:bookmarkStart w:id="91" w:name="_Toc11675"/>
      <w:r>
        <w:rPr>
          <w:rFonts w:ascii="Times New Roman" w:hAnsi="Times New Roman" w:eastAsia="方正楷体_GBK" w:cs="Times New Roman"/>
        </w:rPr>
        <w:t>（二）强化专项资金监管</w:t>
      </w:r>
      <w:bookmarkEnd w:id="91"/>
    </w:p>
    <w:p w14:paraId="3CEA75E1">
      <w:pPr>
        <w:pStyle w:val="6"/>
        <w:ind w:left="0" w:leftChars="0" w:firstLine="640" w:firstLineChars="200"/>
        <w:rPr>
          <w:rFonts w:eastAsia="方正仿宋_GBK"/>
          <w:sz w:val="32"/>
          <w:szCs w:val="32"/>
        </w:rPr>
      </w:pPr>
      <w:r>
        <w:rPr>
          <w:rFonts w:eastAsia="方正仿宋_GBK"/>
          <w:sz w:val="32"/>
          <w:szCs w:val="32"/>
        </w:rPr>
        <w:t>一是加强政策兑现类资金监督管理工作，实时跟踪项目资金下拨动态，确保市财政奖补资金拨付至各区级财政后，及时下拨至获奖补企业。二是落实项目建设类资金使用监管机制，要求项目申请单位在项目申报时细化资金使用方向和具体支出内容，不得擅自调整，确需调整的应规范履行变更程序。</w:t>
      </w:r>
    </w:p>
    <w:p w14:paraId="1FDD8B59">
      <w:pPr>
        <w:pStyle w:val="2"/>
        <w:ind w:firstLine="640"/>
        <w:rPr>
          <w:rFonts w:ascii="Times New Roman" w:hAnsi="Times New Roman" w:eastAsia="黑体" w:cs="Times New Roman"/>
          <w:szCs w:val="32"/>
        </w:rPr>
      </w:pPr>
      <w:bookmarkStart w:id="92" w:name="_Toc13931"/>
      <w:r>
        <w:rPr>
          <w:rFonts w:ascii="Times New Roman" w:hAnsi="Times New Roman" w:eastAsia="黑体" w:cs="Times New Roman"/>
          <w:szCs w:val="32"/>
        </w:rPr>
        <w:t>六、评价工作开展情况及其他需说明的情况</w:t>
      </w:r>
      <w:bookmarkEnd w:id="92"/>
    </w:p>
    <w:p w14:paraId="039E0273">
      <w:pPr>
        <w:ind w:firstLine="640"/>
        <w:rPr>
          <w:rFonts w:ascii="Times New Roman" w:hAnsi="Times New Roman" w:cs="Times New Roman"/>
          <w:sz w:val="32"/>
          <w:szCs w:val="32"/>
        </w:rPr>
      </w:pPr>
      <w:r>
        <w:rPr>
          <w:rFonts w:ascii="Times New Roman" w:hAnsi="Times New Roman" w:cs="Times New Roman"/>
          <w:sz w:val="32"/>
          <w:szCs w:val="32"/>
        </w:rPr>
        <w:t>本次评价是为了客观总结分析市发改委本级财政收支情况及履职效能。评价工作包括：一是前期准备。开展调查研究、分析论证并形成绩效评价工作方案。二是现场核查。发放基础数据表并组织现场核查，收集相关支撑资料和统计数据，形成评价依据。三是分析评价。汇总、整理基础数据报表、核查资料，进行综合绩效分析，量化打分，形成评价结论，完成绩效评价报告初稿。四是形成报告。绩效评价报告初稿完成后，通过沟通核实、征求意见等流程，对报告内容进行修改完善，形成正式绩效评价报告。</w:t>
      </w:r>
    </w:p>
    <w:p w14:paraId="7C72A0F7">
      <w:pPr>
        <w:ind w:firstLine="640"/>
        <w:rPr>
          <w:rFonts w:ascii="Times New Roman" w:hAnsi="Times New Roman" w:cs="Times New Roman"/>
          <w:sz w:val="32"/>
          <w:szCs w:val="32"/>
        </w:rPr>
      </w:pPr>
      <w:r>
        <w:rPr>
          <w:rFonts w:ascii="Times New Roman" w:hAnsi="Times New Roman" w:cs="Times New Roman"/>
          <w:sz w:val="32"/>
          <w:szCs w:val="32"/>
        </w:rPr>
        <w:t>本绩效评价报告只能用于评价报告载明的评价目的，只能由评价报告载明的评价报告使用者使用；未征得委托方、相关政府部门或出具绩效评价报告的机构同意，绩效评价报告的内容不得被摘抄、引用或披露于公开媒体，法律、法规规定及相关当事方另有约定的除外。</w:t>
      </w:r>
    </w:p>
    <w:p w14:paraId="1F34B91E">
      <w:pPr>
        <w:ind w:firstLine="640"/>
        <w:rPr>
          <w:rFonts w:ascii="Times New Roman" w:hAnsi="Times New Roman" w:cs="Times New Roman"/>
          <w:sz w:val="32"/>
          <w:szCs w:val="32"/>
        </w:rPr>
      </w:pPr>
    </w:p>
    <w:p w14:paraId="71FBA1D1">
      <w:pPr>
        <w:ind w:firstLine="640"/>
        <w:rPr>
          <w:rFonts w:ascii="Times New Roman" w:hAnsi="Times New Roman" w:cs="Times New Roman"/>
          <w:sz w:val="32"/>
          <w:szCs w:val="32"/>
        </w:rPr>
        <w:sectPr>
          <w:footerReference r:id="rId11" w:type="default"/>
          <w:pgSz w:w="11906" w:h="16838"/>
          <w:pgMar w:top="1440" w:right="1800" w:bottom="1440" w:left="1800" w:header="851" w:footer="992" w:gutter="0"/>
          <w:pgNumType w:start="1"/>
          <w:cols w:space="425" w:num="1"/>
          <w:docGrid w:type="lines" w:linePitch="312" w:charSpace="0"/>
        </w:sectPr>
      </w:pPr>
      <w:r>
        <w:rPr>
          <w:rFonts w:ascii="Times New Roman" w:hAnsi="Times New Roman" w:cs="Times New Roman"/>
          <w:sz w:val="32"/>
          <w:szCs w:val="32"/>
        </w:rPr>
        <w:t>附件：2024年度南京市发展和改革委员会部门整体绩效评价评分表</w:t>
      </w:r>
    </w:p>
    <w:p w14:paraId="2DFC68A5">
      <w:pPr>
        <w:ind w:firstLine="0" w:firstLineChars="0"/>
        <w:outlineLvl w:val="1"/>
        <w:rPr>
          <w:rFonts w:ascii="Times New Roman" w:hAnsi="Times New Roman" w:eastAsia="黑体" w:cs="Times New Roman"/>
          <w:sz w:val="28"/>
          <w:szCs w:val="28"/>
        </w:rPr>
      </w:pPr>
      <w:bookmarkStart w:id="93" w:name="_Toc18303"/>
      <w:bookmarkStart w:id="94" w:name="_Toc170474511"/>
      <w:bookmarkStart w:id="95" w:name="_Toc9039"/>
      <w:r>
        <w:rPr>
          <w:rFonts w:ascii="Times New Roman" w:hAnsi="Times New Roman" w:eastAsia="黑体" w:cs="Times New Roman"/>
          <w:sz w:val="28"/>
          <w:szCs w:val="28"/>
        </w:rPr>
        <w:t>附件</w:t>
      </w:r>
      <w:bookmarkEnd w:id="93"/>
      <w:bookmarkEnd w:id="94"/>
      <w:bookmarkEnd w:id="95"/>
    </w:p>
    <w:p w14:paraId="48FBB726">
      <w:pPr>
        <w:widowControl/>
        <w:ind w:firstLine="560"/>
        <w:jc w:val="center"/>
        <w:textAlignment w:val="center"/>
        <w:rPr>
          <w:rFonts w:ascii="Times New Roman" w:hAnsi="Times New Roman" w:eastAsia="方正小标宋_GBK" w:cs="Times New Roman"/>
          <w:kern w:val="0"/>
          <w:sz w:val="28"/>
          <w:szCs w:val="28"/>
        </w:rPr>
      </w:pPr>
      <w:r>
        <w:rPr>
          <w:rFonts w:ascii="Times New Roman" w:hAnsi="Times New Roman" w:eastAsia="方正小标宋_GBK" w:cs="Times New Roman"/>
          <w:kern w:val="0"/>
          <w:sz w:val="28"/>
          <w:szCs w:val="28"/>
        </w:rPr>
        <w:t>2024年度南京市发展和改革委员会部门整体绩效评价评分表</w:t>
      </w:r>
    </w:p>
    <w:tbl>
      <w:tblPr>
        <w:tblStyle w:val="12"/>
        <w:tblW w:w="4996" w:type="pct"/>
        <w:tblInd w:w="0" w:type="dxa"/>
        <w:tblLayout w:type="fixed"/>
        <w:tblCellMar>
          <w:top w:w="0" w:type="dxa"/>
          <w:left w:w="108" w:type="dxa"/>
          <w:bottom w:w="0" w:type="dxa"/>
          <w:right w:w="108" w:type="dxa"/>
        </w:tblCellMar>
      </w:tblPr>
      <w:tblGrid>
        <w:gridCol w:w="746"/>
        <w:gridCol w:w="910"/>
        <w:gridCol w:w="1389"/>
        <w:gridCol w:w="2255"/>
        <w:gridCol w:w="4634"/>
        <w:gridCol w:w="785"/>
        <w:gridCol w:w="748"/>
        <w:gridCol w:w="736"/>
        <w:gridCol w:w="1960"/>
      </w:tblGrid>
      <w:tr w14:paraId="4A93FBB1">
        <w:tblPrEx>
          <w:tblCellMar>
            <w:top w:w="0" w:type="dxa"/>
            <w:left w:w="108" w:type="dxa"/>
            <w:bottom w:w="0" w:type="dxa"/>
            <w:right w:w="108" w:type="dxa"/>
          </w:tblCellMar>
        </w:tblPrEx>
        <w:trPr>
          <w:trHeight w:val="23" w:hRule="atLeast"/>
          <w:tblHeader/>
        </w:trPr>
        <w:tc>
          <w:tcPr>
            <w:tcW w:w="263" w:type="pct"/>
            <w:tcBorders>
              <w:top w:val="single" w:color="auto" w:sz="4" w:space="0"/>
              <w:left w:val="single" w:color="auto" w:sz="4" w:space="0"/>
              <w:bottom w:val="single" w:color="auto" w:sz="4" w:space="0"/>
              <w:right w:val="single" w:color="auto" w:sz="4" w:space="0"/>
            </w:tcBorders>
            <w:shd w:val="clear" w:color="000000" w:fill="FFFFFF"/>
            <w:vAlign w:val="center"/>
          </w:tcPr>
          <w:p w14:paraId="739A0B52">
            <w:pPr>
              <w:widowControl/>
              <w:spacing w:line="320" w:lineRule="exact"/>
              <w:ind w:firstLine="0" w:firstLineChars="0"/>
              <w:jc w:val="center"/>
              <w:textAlignment w:val="center"/>
              <w:rPr>
                <w:rFonts w:ascii="Times New Roman" w:hAnsi="Times New Roman" w:eastAsia="方正公文小标宋" w:cs="Times New Roman"/>
                <w:kern w:val="0"/>
                <w:sz w:val="24"/>
                <w:szCs w:val="24"/>
              </w:rPr>
            </w:pPr>
            <w:r>
              <w:rPr>
                <w:rFonts w:ascii="Times New Roman" w:hAnsi="Times New Roman" w:eastAsia="方正公文小标宋" w:cs="Times New Roman"/>
                <w:kern w:val="0"/>
                <w:sz w:val="24"/>
                <w:szCs w:val="24"/>
              </w:rPr>
              <w:t>一级指标</w:t>
            </w:r>
          </w:p>
        </w:tc>
        <w:tc>
          <w:tcPr>
            <w:tcW w:w="321" w:type="pct"/>
            <w:tcBorders>
              <w:top w:val="single" w:color="auto" w:sz="4" w:space="0"/>
              <w:left w:val="nil"/>
              <w:bottom w:val="single" w:color="auto" w:sz="4" w:space="0"/>
              <w:right w:val="single" w:color="auto" w:sz="4" w:space="0"/>
            </w:tcBorders>
            <w:shd w:val="clear" w:color="000000" w:fill="FFFFFF"/>
            <w:vAlign w:val="center"/>
          </w:tcPr>
          <w:p w14:paraId="3DAF073A">
            <w:pPr>
              <w:widowControl/>
              <w:spacing w:line="320" w:lineRule="exact"/>
              <w:ind w:firstLine="0" w:firstLineChars="0"/>
              <w:jc w:val="center"/>
              <w:textAlignment w:val="center"/>
              <w:rPr>
                <w:rFonts w:ascii="Times New Roman" w:hAnsi="Times New Roman" w:eastAsia="方正公文小标宋" w:cs="Times New Roman"/>
                <w:kern w:val="0"/>
                <w:sz w:val="24"/>
                <w:szCs w:val="24"/>
              </w:rPr>
            </w:pPr>
            <w:r>
              <w:rPr>
                <w:rFonts w:ascii="Times New Roman" w:hAnsi="Times New Roman" w:eastAsia="方正公文小标宋" w:cs="Times New Roman"/>
                <w:kern w:val="0"/>
                <w:sz w:val="24"/>
                <w:szCs w:val="24"/>
              </w:rPr>
              <w:t>二级指标</w:t>
            </w:r>
          </w:p>
        </w:tc>
        <w:tc>
          <w:tcPr>
            <w:tcW w:w="490" w:type="pct"/>
            <w:tcBorders>
              <w:top w:val="single" w:color="auto" w:sz="4" w:space="0"/>
              <w:left w:val="nil"/>
              <w:bottom w:val="single" w:color="auto" w:sz="4" w:space="0"/>
              <w:right w:val="single" w:color="auto" w:sz="4" w:space="0"/>
            </w:tcBorders>
            <w:shd w:val="clear" w:color="000000" w:fill="FFFFFF"/>
            <w:vAlign w:val="center"/>
          </w:tcPr>
          <w:p w14:paraId="456852E5">
            <w:pPr>
              <w:widowControl/>
              <w:spacing w:line="320" w:lineRule="exact"/>
              <w:ind w:firstLine="0" w:firstLineChars="0"/>
              <w:jc w:val="center"/>
              <w:textAlignment w:val="center"/>
              <w:rPr>
                <w:rFonts w:ascii="Times New Roman" w:hAnsi="Times New Roman" w:eastAsia="方正公文小标宋" w:cs="Times New Roman"/>
                <w:kern w:val="0"/>
                <w:sz w:val="24"/>
                <w:szCs w:val="24"/>
              </w:rPr>
            </w:pPr>
            <w:r>
              <w:rPr>
                <w:rFonts w:ascii="Times New Roman" w:hAnsi="Times New Roman" w:eastAsia="方正公文小标宋" w:cs="Times New Roman"/>
                <w:kern w:val="0"/>
                <w:sz w:val="24"/>
                <w:szCs w:val="24"/>
              </w:rPr>
              <w:t>三级指标</w:t>
            </w:r>
          </w:p>
        </w:tc>
        <w:tc>
          <w:tcPr>
            <w:tcW w:w="795" w:type="pct"/>
            <w:tcBorders>
              <w:top w:val="single" w:color="auto" w:sz="4" w:space="0"/>
              <w:left w:val="nil"/>
              <w:bottom w:val="single" w:color="auto" w:sz="4" w:space="0"/>
              <w:right w:val="single" w:color="auto" w:sz="4" w:space="0"/>
            </w:tcBorders>
            <w:shd w:val="clear" w:color="000000" w:fill="FFFFFF"/>
            <w:vAlign w:val="center"/>
          </w:tcPr>
          <w:p w14:paraId="5FC5DFBA">
            <w:pPr>
              <w:widowControl/>
              <w:spacing w:line="320" w:lineRule="exact"/>
              <w:ind w:firstLine="0" w:firstLineChars="0"/>
              <w:jc w:val="center"/>
              <w:textAlignment w:val="center"/>
              <w:rPr>
                <w:rFonts w:ascii="Times New Roman" w:hAnsi="Times New Roman" w:eastAsia="方正公文小标宋" w:cs="Times New Roman"/>
                <w:kern w:val="0"/>
                <w:sz w:val="24"/>
                <w:szCs w:val="24"/>
              </w:rPr>
            </w:pPr>
            <w:r>
              <w:rPr>
                <w:rFonts w:ascii="Times New Roman" w:hAnsi="Times New Roman" w:eastAsia="方正公文小标宋" w:cs="Times New Roman"/>
                <w:kern w:val="0"/>
                <w:sz w:val="24"/>
                <w:szCs w:val="24"/>
              </w:rPr>
              <w:t>指标解释</w:t>
            </w:r>
          </w:p>
        </w:tc>
        <w:tc>
          <w:tcPr>
            <w:tcW w:w="1634" w:type="pct"/>
            <w:tcBorders>
              <w:top w:val="single" w:color="auto" w:sz="4" w:space="0"/>
              <w:left w:val="nil"/>
              <w:bottom w:val="single" w:color="auto" w:sz="4" w:space="0"/>
              <w:right w:val="single" w:color="auto" w:sz="4" w:space="0"/>
            </w:tcBorders>
            <w:shd w:val="clear" w:color="000000" w:fill="FFFFFF"/>
            <w:vAlign w:val="center"/>
          </w:tcPr>
          <w:p w14:paraId="06FC58C7">
            <w:pPr>
              <w:widowControl/>
              <w:spacing w:line="320" w:lineRule="exact"/>
              <w:ind w:firstLine="0" w:firstLineChars="0"/>
              <w:jc w:val="center"/>
              <w:textAlignment w:val="center"/>
              <w:rPr>
                <w:rFonts w:ascii="Times New Roman" w:hAnsi="Times New Roman" w:eastAsia="方正公文小标宋" w:cs="Times New Roman"/>
                <w:kern w:val="0"/>
                <w:sz w:val="24"/>
                <w:szCs w:val="24"/>
              </w:rPr>
            </w:pPr>
            <w:r>
              <w:rPr>
                <w:rFonts w:ascii="Times New Roman" w:hAnsi="Times New Roman" w:eastAsia="方正公文小标宋" w:cs="Times New Roman"/>
                <w:kern w:val="0"/>
                <w:sz w:val="24"/>
                <w:szCs w:val="24"/>
              </w:rPr>
              <w:t>评价要点及评分规则</w:t>
            </w:r>
          </w:p>
        </w:tc>
        <w:tc>
          <w:tcPr>
            <w:tcW w:w="277" w:type="pct"/>
            <w:tcBorders>
              <w:top w:val="single" w:color="auto" w:sz="4" w:space="0"/>
              <w:left w:val="nil"/>
              <w:bottom w:val="single" w:color="auto" w:sz="4" w:space="0"/>
              <w:right w:val="single" w:color="auto" w:sz="4" w:space="0"/>
            </w:tcBorders>
            <w:shd w:val="clear" w:color="000000" w:fill="FFFFFF"/>
            <w:vAlign w:val="center"/>
          </w:tcPr>
          <w:p w14:paraId="0C488148">
            <w:pPr>
              <w:widowControl/>
              <w:spacing w:line="320" w:lineRule="exact"/>
              <w:ind w:firstLine="0" w:firstLineChars="0"/>
              <w:jc w:val="center"/>
              <w:textAlignment w:val="center"/>
              <w:rPr>
                <w:rFonts w:ascii="Times New Roman" w:hAnsi="Times New Roman" w:eastAsia="方正公文小标宋" w:cs="Times New Roman"/>
                <w:kern w:val="0"/>
                <w:sz w:val="24"/>
                <w:szCs w:val="24"/>
              </w:rPr>
            </w:pPr>
            <w:r>
              <w:rPr>
                <w:rFonts w:ascii="Times New Roman" w:hAnsi="Times New Roman" w:eastAsia="方正公文小标宋" w:cs="Times New Roman"/>
                <w:kern w:val="0"/>
                <w:sz w:val="24"/>
                <w:szCs w:val="24"/>
              </w:rPr>
              <w:t>标准值</w:t>
            </w:r>
          </w:p>
        </w:tc>
        <w:tc>
          <w:tcPr>
            <w:tcW w:w="264" w:type="pct"/>
            <w:tcBorders>
              <w:top w:val="single" w:color="auto" w:sz="4" w:space="0"/>
              <w:left w:val="nil"/>
              <w:bottom w:val="single" w:color="auto" w:sz="4" w:space="0"/>
              <w:right w:val="single" w:color="auto" w:sz="4" w:space="0"/>
            </w:tcBorders>
            <w:shd w:val="clear" w:color="000000" w:fill="FFFFFF"/>
            <w:vAlign w:val="center"/>
          </w:tcPr>
          <w:p w14:paraId="368E82C0">
            <w:pPr>
              <w:widowControl/>
              <w:spacing w:line="320" w:lineRule="exact"/>
              <w:ind w:firstLine="0" w:firstLineChars="0"/>
              <w:jc w:val="center"/>
              <w:textAlignment w:val="center"/>
              <w:rPr>
                <w:rFonts w:ascii="Times New Roman" w:hAnsi="Times New Roman" w:eastAsia="方正公文小标宋" w:cs="Times New Roman"/>
                <w:kern w:val="0"/>
                <w:sz w:val="24"/>
                <w:szCs w:val="24"/>
              </w:rPr>
            </w:pPr>
            <w:r>
              <w:rPr>
                <w:rFonts w:ascii="Times New Roman" w:hAnsi="Times New Roman" w:eastAsia="方正公文小标宋" w:cs="Times New Roman"/>
                <w:kern w:val="0"/>
                <w:sz w:val="24"/>
                <w:szCs w:val="24"/>
              </w:rPr>
              <w:t>权重</w:t>
            </w:r>
          </w:p>
        </w:tc>
        <w:tc>
          <w:tcPr>
            <w:tcW w:w="260" w:type="pct"/>
            <w:tcBorders>
              <w:top w:val="single" w:color="auto" w:sz="4" w:space="0"/>
              <w:left w:val="nil"/>
              <w:bottom w:val="single" w:color="auto" w:sz="4" w:space="0"/>
              <w:right w:val="single" w:color="auto" w:sz="4" w:space="0"/>
            </w:tcBorders>
            <w:shd w:val="clear" w:color="000000" w:fill="FFFFFF"/>
            <w:vAlign w:val="center"/>
          </w:tcPr>
          <w:p w14:paraId="0BA44E3E">
            <w:pPr>
              <w:widowControl/>
              <w:spacing w:line="320" w:lineRule="exact"/>
              <w:ind w:firstLine="0" w:firstLineChars="0"/>
              <w:jc w:val="center"/>
              <w:textAlignment w:val="center"/>
              <w:rPr>
                <w:rFonts w:ascii="Times New Roman" w:hAnsi="Times New Roman" w:eastAsia="方正公文小标宋" w:cs="Times New Roman"/>
                <w:kern w:val="0"/>
                <w:sz w:val="24"/>
                <w:szCs w:val="24"/>
              </w:rPr>
            </w:pPr>
            <w:r>
              <w:rPr>
                <w:rFonts w:ascii="Times New Roman" w:hAnsi="Times New Roman" w:eastAsia="方正公文小标宋" w:cs="Times New Roman"/>
                <w:kern w:val="0"/>
                <w:sz w:val="24"/>
                <w:szCs w:val="24"/>
              </w:rPr>
              <w:t>得分</w:t>
            </w:r>
          </w:p>
        </w:tc>
        <w:tc>
          <w:tcPr>
            <w:tcW w:w="691" w:type="pct"/>
            <w:tcBorders>
              <w:top w:val="single" w:color="auto" w:sz="4" w:space="0"/>
              <w:left w:val="nil"/>
              <w:bottom w:val="single" w:color="auto" w:sz="4" w:space="0"/>
              <w:right w:val="single" w:color="auto" w:sz="4" w:space="0"/>
            </w:tcBorders>
            <w:shd w:val="clear" w:color="000000" w:fill="FFFFFF"/>
            <w:vAlign w:val="center"/>
          </w:tcPr>
          <w:p w14:paraId="5695DC5A">
            <w:pPr>
              <w:widowControl/>
              <w:spacing w:line="320" w:lineRule="exact"/>
              <w:ind w:firstLine="0" w:firstLineChars="0"/>
              <w:jc w:val="center"/>
              <w:textAlignment w:val="center"/>
              <w:rPr>
                <w:rFonts w:ascii="Times New Roman" w:hAnsi="Times New Roman" w:eastAsia="方正公文小标宋" w:cs="Times New Roman"/>
                <w:kern w:val="0"/>
                <w:sz w:val="24"/>
                <w:szCs w:val="24"/>
              </w:rPr>
            </w:pPr>
            <w:r>
              <w:rPr>
                <w:rFonts w:ascii="Times New Roman" w:hAnsi="Times New Roman" w:eastAsia="方正公文小标宋" w:cs="Times New Roman"/>
                <w:kern w:val="0"/>
                <w:sz w:val="24"/>
                <w:szCs w:val="24"/>
              </w:rPr>
              <w:t>评价说明</w:t>
            </w:r>
          </w:p>
        </w:tc>
      </w:tr>
      <w:tr w14:paraId="1E6DD942">
        <w:tblPrEx>
          <w:tblCellMar>
            <w:top w:w="0" w:type="dxa"/>
            <w:left w:w="108" w:type="dxa"/>
            <w:bottom w:w="0" w:type="dxa"/>
            <w:right w:w="108" w:type="dxa"/>
          </w:tblCellMar>
        </w:tblPrEx>
        <w:trPr>
          <w:trHeight w:val="23" w:hRule="atLeast"/>
        </w:trPr>
        <w:tc>
          <w:tcPr>
            <w:tcW w:w="263" w:type="pct"/>
            <w:vMerge w:val="restart"/>
            <w:tcBorders>
              <w:top w:val="nil"/>
              <w:left w:val="single" w:color="auto" w:sz="4" w:space="0"/>
              <w:bottom w:val="single" w:color="auto" w:sz="4" w:space="0"/>
              <w:right w:val="single" w:color="auto" w:sz="4" w:space="0"/>
            </w:tcBorders>
            <w:shd w:val="clear" w:color="000000" w:fill="FFFFFF"/>
            <w:vAlign w:val="center"/>
          </w:tcPr>
          <w:p w14:paraId="62030E6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A决策</w:t>
            </w:r>
          </w:p>
        </w:tc>
        <w:tc>
          <w:tcPr>
            <w:tcW w:w="321" w:type="pct"/>
            <w:tcBorders>
              <w:top w:val="nil"/>
              <w:left w:val="nil"/>
              <w:bottom w:val="single" w:color="auto" w:sz="4" w:space="0"/>
              <w:right w:val="single" w:color="auto" w:sz="4" w:space="0"/>
            </w:tcBorders>
            <w:shd w:val="clear" w:color="000000" w:fill="FFFFFF"/>
            <w:vAlign w:val="center"/>
          </w:tcPr>
          <w:p w14:paraId="4901D77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A1决策程序</w:t>
            </w:r>
          </w:p>
        </w:tc>
        <w:tc>
          <w:tcPr>
            <w:tcW w:w="490" w:type="pct"/>
            <w:tcBorders>
              <w:top w:val="nil"/>
              <w:left w:val="nil"/>
              <w:bottom w:val="single" w:color="auto" w:sz="4" w:space="0"/>
              <w:right w:val="single" w:color="auto" w:sz="4" w:space="0"/>
            </w:tcBorders>
            <w:shd w:val="clear" w:color="000000" w:fill="FFFFFF"/>
            <w:vAlign w:val="center"/>
          </w:tcPr>
          <w:p w14:paraId="1C16181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All决策程序的规范性</w:t>
            </w:r>
          </w:p>
        </w:tc>
        <w:tc>
          <w:tcPr>
            <w:tcW w:w="795" w:type="pct"/>
            <w:tcBorders>
              <w:top w:val="nil"/>
              <w:left w:val="nil"/>
              <w:bottom w:val="single" w:color="auto" w:sz="4" w:space="0"/>
              <w:right w:val="single" w:color="auto" w:sz="4" w:space="0"/>
            </w:tcBorders>
            <w:shd w:val="clear" w:color="000000" w:fill="FFFFFF"/>
            <w:vAlign w:val="center"/>
          </w:tcPr>
          <w:p w14:paraId="7B5C101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部门是否建立了关于重大政策活动、重点项目、重大资金安排的决策制度，决策制度是否可行，决策流程是否规范合理。</w:t>
            </w:r>
          </w:p>
        </w:tc>
        <w:tc>
          <w:tcPr>
            <w:tcW w:w="1634" w:type="pct"/>
            <w:tcBorders>
              <w:top w:val="nil"/>
              <w:left w:val="nil"/>
              <w:bottom w:val="single" w:color="auto" w:sz="4" w:space="0"/>
              <w:right w:val="single" w:color="auto" w:sz="4" w:space="0"/>
            </w:tcBorders>
            <w:shd w:val="clear" w:color="000000" w:fill="FFFFFF"/>
            <w:vAlign w:val="center"/>
          </w:tcPr>
          <w:p w14:paraId="12BCF1B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1．重大政策活动、重大项目和重大资金安排方面的决策制度；</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2．部门年度重点项目、重大预算、重大资金使用决策制度的可行性；</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3．部门决策流程是否规范合理。</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以上评价要点各占1/3权重，建立“三重一大”决策制度且2024年相关的决策按制度执行并规范合理得2分；三项决策标准不全部具备时，每缺失1项扣除0.5分，扣完为止。</w:t>
            </w:r>
          </w:p>
        </w:tc>
        <w:tc>
          <w:tcPr>
            <w:tcW w:w="277" w:type="pct"/>
            <w:tcBorders>
              <w:top w:val="nil"/>
              <w:left w:val="nil"/>
              <w:bottom w:val="single" w:color="auto" w:sz="4" w:space="0"/>
              <w:right w:val="single" w:color="auto" w:sz="4" w:space="0"/>
            </w:tcBorders>
            <w:shd w:val="clear" w:color="000000" w:fill="FFFFFF"/>
            <w:vAlign w:val="center"/>
          </w:tcPr>
          <w:p w14:paraId="314E900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规范</w:t>
            </w:r>
          </w:p>
        </w:tc>
        <w:tc>
          <w:tcPr>
            <w:tcW w:w="264" w:type="pct"/>
            <w:tcBorders>
              <w:top w:val="nil"/>
              <w:left w:val="nil"/>
              <w:bottom w:val="single" w:color="auto" w:sz="4" w:space="0"/>
              <w:right w:val="single" w:color="auto" w:sz="4" w:space="0"/>
            </w:tcBorders>
            <w:shd w:val="clear" w:color="000000" w:fill="FFFFFF"/>
            <w:vAlign w:val="center"/>
          </w:tcPr>
          <w:p w14:paraId="7AE667B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000000" w:fill="FFFFFF"/>
            <w:vAlign w:val="center"/>
          </w:tcPr>
          <w:p w14:paraId="73D3646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000000" w:fill="FFFFFF"/>
            <w:vAlign w:val="center"/>
          </w:tcPr>
          <w:p w14:paraId="0F706119">
            <w:pPr>
              <w:widowControl/>
              <w:spacing w:line="240" w:lineRule="auto"/>
              <w:ind w:firstLine="0" w:firstLineChars="0"/>
              <w:jc w:val="left"/>
              <w:rPr>
                <w:rFonts w:ascii="Times New Roman" w:hAnsi="Times New Roman" w:eastAsia="方正楷体_GBK" w:cs="Times New Roman"/>
                <w:color w:val="000000"/>
                <w:kern w:val="0"/>
                <w:sz w:val="22"/>
              </w:rPr>
            </w:pPr>
          </w:p>
        </w:tc>
      </w:tr>
      <w:tr w14:paraId="5E4514A4">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single" w:color="auto" w:sz="4" w:space="0"/>
              <w:right w:val="single" w:color="auto" w:sz="4" w:space="0"/>
            </w:tcBorders>
            <w:vAlign w:val="center"/>
          </w:tcPr>
          <w:p w14:paraId="56B08D00">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nil"/>
              <w:left w:val="single" w:color="auto" w:sz="4" w:space="0"/>
              <w:bottom w:val="single" w:color="000000" w:sz="4" w:space="0"/>
              <w:right w:val="single" w:color="auto" w:sz="4" w:space="0"/>
            </w:tcBorders>
            <w:shd w:val="clear" w:color="000000" w:fill="FFFFFF"/>
            <w:vAlign w:val="center"/>
          </w:tcPr>
          <w:p w14:paraId="2D98DF1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A2规划与计划制定</w:t>
            </w:r>
          </w:p>
        </w:tc>
        <w:tc>
          <w:tcPr>
            <w:tcW w:w="490" w:type="pct"/>
            <w:tcBorders>
              <w:top w:val="nil"/>
              <w:left w:val="nil"/>
              <w:bottom w:val="single" w:color="auto" w:sz="4" w:space="0"/>
              <w:right w:val="single" w:color="auto" w:sz="4" w:space="0"/>
            </w:tcBorders>
            <w:shd w:val="clear" w:color="000000" w:fill="FFFFFF"/>
            <w:vAlign w:val="center"/>
          </w:tcPr>
          <w:p w14:paraId="6465D1B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A21中长期规划明确性</w:t>
            </w:r>
          </w:p>
        </w:tc>
        <w:tc>
          <w:tcPr>
            <w:tcW w:w="795" w:type="pct"/>
            <w:tcBorders>
              <w:top w:val="nil"/>
              <w:left w:val="nil"/>
              <w:bottom w:val="single" w:color="auto" w:sz="4" w:space="0"/>
              <w:right w:val="single" w:color="auto" w:sz="4" w:space="0"/>
            </w:tcBorders>
            <w:shd w:val="clear" w:color="000000" w:fill="FFFFFF"/>
            <w:vAlign w:val="center"/>
          </w:tcPr>
          <w:p w14:paraId="75C54FE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部门中长期规划制定是否明确，年度工作计划制定是否明确、具体、可操作。</w:t>
            </w:r>
          </w:p>
        </w:tc>
        <w:tc>
          <w:tcPr>
            <w:tcW w:w="1634" w:type="pct"/>
            <w:tcBorders>
              <w:top w:val="nil"/>
              <w:left w:val="nil"/>
              <w:bottom w:val="single" w:color="auto" w:sz="4" w:space="0"/>
              <w:right w:val="single" w:color="auto" w:sz="4" w:space="0"/>
            </w:tcBorders>
            <w:shd w:val="clear" w:color="000000" w:fill="FFFFFF"/>
            <w:vAlign w:val="center"/>
          </w:tcPr>
          <w:p w14:paraId="5FD28DBD">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1．绩效目标符合部门制定的中长期实施规划和年度计划；</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2．制定了明确的中长期规划，包括总体目标、工作内容、时间进度等。</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以上评分要点各占1/2权重。两点均明确，得权重分；较明确，得80%权重分；不明确，得0分；没有中长期规划，本指标得0分。</w:t>
            </w:r>
          </w:p>
        </w:tc>
        <w:tc>
          <w:tcPr>
            <w:tcW w:w="277" w:type="pct"/>
            <w:tcBorders>
              <w:top w:val="nil"/>
              <w:left w:val="nil"/>
              <w:bottom w:val="single" w:color="auto" w:sz="4" w:space="0"/>
              <w:right w:val="single" w:color="auto" w:sz="4" w:space="0"/>
            </w:tcBorders>
            <w:shd w:val="clear" w:color="000000" w:fill="FFFFFF"/>
            <w:vAlign w:val="center"/>
          </w:tcPr>
          <w:p w14:paraId="4BD16E1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明确</w:t>
            </w:r>
          </w:p>
        </w:tc>
        <w:tc>
          <w:tcPr>
            <w:tcW w:w="264" w:type="pct"/>
            <w:tcBorders>
              <w:top w:val="nil"/>
              <w:left w:val="nil"/>
              <w:bottom w:val="single" w:color="auto" w:sz="4" w:space="0"/>
              <w:right w:val="single" w:color="auto" w:sz="4" w:space="0"/>
            </w:tcBorders>
            <w:shd w:val="clear" w:color="000000" w:fill="FFFFFF"/>
            <w:vAlign w:val="center"/>
          </w:tcPr>
          <w:p w14:paraId="19EC6E2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5E55077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667A844F">
            <w:pPr>
              <w:widowControl/>
              <w:spacing w:line="240" w:lineRule="auto"/>
              <w:ind w:firstLine="0" w:firstLineChars="0"/>
              <w:jc w:val="left"/>
              <w:rPr>
                <w:rFonts w:ascii="Times New Roman" w:hAnsi="Times New Roman" w:eastAsia="方正楷体_GBK" w:cs="Times New Roman"/>
                <w:color w:val="000000"/>
                <w:kern w:val="0"/>
                <w:sz w:val="22"/>
              </w:rPr>
            </w:pPr>
          </w:p>
        </w:tc>
      </w:tr>
      <w:tr w14:paraId="35EBCA70">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single" w:color="auto" w:sz="4" w:space="0"/>
              <w:right w:val="single" w:color="auto" w:sz="4" w:space="0"/>
            </w:tcBorders>
            <w:vAlign w:val="center"/>
          </w:tcPr>
          <w:p w14:paraId="49EE883A">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000000" w:sz="4" w:space="0"/>
              <w:right w:val="single" w:color="auto" w:sz="4" w:space="0"/>
            </w:tcBorders>
            <w:vAlign w:val="center"/>
          </w:tcPr>
          <w:p w14:paraId="7794960D">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5C8A4CD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A22中长期规划与部门职能匹配性</w:t>
            </w:r>
          </w:p>
        </w:tc>
        <w:tc>
          <w:tcPr>
            <w:tcW w:w="795" w:type="pct"/>
            <w:tcBorders>
              <w:top w:val="nil"/>
              <w:left w:val="nil"/>
              <w:bottom w:val="single" w:color="auto" w:sz="4" w:space="0"/>
              <w:right w:val="single" w:color="auto" w:sz="4" w:space="0"/>
            </w:tcBorders>
            <w:shd w:val="clear" w:color="000000" w:fill="FFFFFF"/>
            <w:vAlign w:val="center"/>
          </w:tcPr>
          <w:p w14:paraId="3B01C6D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部门中长期规划制定是否与部门职能相匹配，年度工作计划制定是否与部门职能和中长期规划相匹配。</w:t>
            </w:r>
          </w:p>
        </w:tc>
        <w:tc>
          <w:tcPr>
            <w:tcW w:w="1634" w:type="pct"/>
            <w:tcBorders>
              <w:top w:val="nil"/>
              <w:left w:val="nil"/>
              <w:bottom w:val="single" w:color="auto" w:sz="4" w:space="0"/>
              <w:right w:val="single" w:color="auto" w:sz="4" w:space="0"/>
            </w:tcBorders>
            <w:shd w:val="clear" w:color="000000" w:fill="FFFFFF"/>
            <w:vAlign w:val="center"/>
          </w:tcPr>
          <w:p w14:paraId="47C8862A">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1．部门规划涵盖了部门全部职能；</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2．与部门职能相匹配。</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各要点占50%权重分，规划涵盖全部职能及与职能相匹配得权重分，较匹配，得80%权重分；不匹配，得0分。</w:t>
            </w:r>
          </w:p>
        </w:tc>
        <w:tc>
          <w:tcPr>
            <w:tcW w:w="277" w:type="pct"/>
            <w:tcBorders>
              <w:top w:val="nil"/>
              <w:left w:val="nil"/>
              <w:bottom w:val="single" w:color="auto" w:sz="4" w:space="0"/>
              <w:right w:val="single" w:color="auto" w:sz="4" w:space="0"/>
            </w:tcBorders>
            <w:shd w:val="clear" w:color="000000" w:fill="FFFFFF"/>
            <w:vAlign w:val="center"/>
          </w:tcPr>
          <w:p w14:paraId="37210F2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匹配</w:t>
            </w:r>
          </w:p>
        </w:tc>
        <w:tc>
          <w:tcPr>
            <w:tcW w:w="264" w:type="pct"/>
            <w:tcBorders>
              <w:top w:val="nil"/>
              <w:left w:val="nil"/>
              <w:bottom w:val="single" w:color="auto" w:sz="4" w:space="0"/>
              <w:right w:val="single" w:color="auto" w:sz="4" w:space="0"/>
            </w:tcBorders>
            <w:shd w:val="clear" w:color="000000" w:fill="FFFFFF"/>
            <w:vAlign w:val="center"/>
          </w:tcPr>
          <w:p w14:paraId="4F98B15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130FFB1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5D938E85">
            <w:pPr>
              <w:widowControl/>
              <w:spacing w:line="240" w:lineRule="auto"/>
              <w:ind w:firstLine="0" w:firstLineChars="0"/>
              <w:jc w:val="left"/>
              <w:rPr>
                <w:rFonts w:ascii="Times New Roman" w:hAnsi="Times New Roman" w:eastAsia="方正楷体_GBK" w:cs="Times New Roman"/>
                <w:color w:val="000000"/>
                <w:kern w:val="0"/>
                <w:sz w:val="22"/>
              </w:rPr>
            </w:pPr>
          </w:p>
        </w:tc>
      </w:tr>
      <w:tr w14:paraId="046CFA1B">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single" w:color="auto" w:sz="4" w:space="0"/>
              <w:right w:val="single" w:color="auto" w:sz="4" w:space="0"/>
            </w:tcBorders>
            <w:vAlign w:val="center"/>
          </w:tcPr>
          <w:p w14:paraId="3B87AD62">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nil"/>
              <w:left w:val="single" w:color="auto" w:sz="4" w:space="0"/>
              <w:bottom w:val="single" w:color="auto" w:sz="4" w:space="0"/>
              <w:right w:val="single" w:color="auto" w:sz="4" w:space="0"/>
            </w:tcBorders>
            <w:shd w:val="clear" w:color="000000" w:fill="FFFFFF"/>
            <w:vAlign w:val="center"/>
          </w:tcPr>
          <w:p w14:paraId="3EBC65F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A3目标设定</w:t>
            </w:r>
          </w:p>
        </w:tc>
        <w:tc>
          <w:tcPr>
            <w:tcW w:w="490" w:type="pct"/>
            <w:tcBorders>
              <w:top w:val="nil"/>
              <w:left w:val="nil"/>
              <w:bottom w:val="single" w:color="auto" w:sz="4" w:space="0"/>
              <w:right w:val="single" w:color="auto" w:sz="4" w:space="0"/>
            </w:tcBorders>
            <w:shd w:val="clear" w:color="000000" w:fill="FFFFFF"/>
            <w:vAlign w:val="center"/>
          </w:tcPr>
          <w:p w14:paraId="1F86CE7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A31绩效目标合理性</w:t>
            </w:r>
          </w:p>
        </w:tc>
        <w:tc>
          <w:tcPr>
            <w:tcW w:w="795" w:type="pct"/>
            <w:tcBorders>
              <w:top w:val="nil"/>
              <w:left w:val="nil"/>
              <w:bottom w:val="single" w:color="auto" w:sz="4" w:space="0"/>
              <w:right w:val="single" w:color="auto" w:sz="4" w:space="0"/>
            </w:tcBorders>
            <w:shd w:val="clear" w:color="000000" w:fill="FFFFFF"/>
            <w:vAlign w:val="center"/>
          </w:tcPr>
          <w:p w14:paraId="6D60B1A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部门所设立的整体绩效目标依据是否充分、是否符合客观实际，用以反映和考核部门整体绩效目标与部门履职、年度工作任务的相符性情况。</w:t>
            </w:r>
          </w:p>
        </w:tc>
        <w:tc>
          <w:tcPr>
            <w:tcW w:w="1634" w:type="pct"/>
            <w:tcBorders>
              <w:top w:val="nil"/>
              <w:left w:val="nil"/>
              <w:bottom w:val="single" w:color="auto" w:sz="4" w:space="0"/>
              <w:right w:val="single" w:color="auto" w:sz="4" w:space="0"/>
            </w:tcBorders>
            <w:shd w:val="clear" w:color="000000" w:fill="FFFFFF"/>
            <w:vAlign w:val="center"/>
          </w:tcPr>
          <w:p w14:paraId="7390F267">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1．是否符合国家法律法规、国民经济和社会发展总体规划、部门“三定”方案的职责；</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2．是否符合部门制定的中长期规划和年度工作计划；</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3．是否与社会需求相匹配；</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4．是否与本年度部门预算资金相匹配。</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以上评价要点各占1/4权重。每个要点执行情况分好、中、差三档。按100%-80%（含），80%-60%（含），60%-0%评分。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432FFBE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合理</w:t>
            </w:r>
          </w:p>
        </w:tc>
        <w:tc>
          <w:tcPr>
            <w:tcW w:w="264" w:type="pct"/>
            <w:tcBorders>
              <w:top w:val="nil"/>
              <w:left w:val="nil"/>
              <w:bottom w:val="single" w:color="auto" w:sz="4" w:space="0"/>
              <w:right w:val="single" w:color="auto" w:sz="4" w:space="0"/>
            </w:tcBorders>
            <w:shd w:val="clear" w:color="000000" w:fill="FFFFFF"/>
            <w:vAlign w:val="center"/>
          </w:tcPr>
          <w:p w14:paraId="2EC77BB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3F6BDF0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56079BF1">
            <w:pPr>
              <w:widowControl/>
              <w:spacing w:line="240" w:lineRule="auto"/>
              <w:ind w:firstLine="0" w:firstLineChars="0"/>
              <w:jc w:val="left"/>
              <w:rPr>
                <w:rFonts w:ascii="Times New Roman" w:hAnsi="Times New Roman" w:eastAsia="方正楷体_GBK" w:cs="Times New Roman"/>
                <w:color w:val="000000"/>
                <w:kern w:val="0"/>
                <w:sz w:val="22"/>
              </w:rPr>
            </w:pPr>
          </w:p>
        </w:tc>
      </w:tr>
      <w:tr w14:paraId="69B7AA1F">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single" w:color="auto" w:sz="4" w:space="0"/>
              <w:right w:val="single" w:color="auto" w:sz="4" w:space="0"/>
            </w:tcBorders>
            <w:vAlign w:val="center"/>
          </w:tcPr>
          <w:p w14:paraId="69AFEFA9">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auto" w:sz="4" w:space="0"/>
              <w:right w:val="single" w:color="auto" w:sz="4" w:space="0"/>
            </w:tcBorders>
            <w:vAlign w:val="center"/>
          </w:tcPr>
          <w:p w14:paraId="1F8946E7">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2645439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A32绩效指标明确性</w:t>
            </w:r>
          </w:p>
        </w:tc>
        <w:tc>
          <w:tcPr>
            <w:tcW w:w="795" w:type="pct"/>
            <w:tcBorders>
              <w:top w:val="nil"/>
              <w:left w:val="nil"/>
              <w:bottom w:val="single" w:color="auto" w:sz="4" w:space="0"/>
              <w:right w:val="single" w:color="auto" w:sz="4" w:space="0"/>
            </w:tcBorders>
            <w:shd w:val="clear" w:color="000000" w:fill="FFFFFF"/>
            <w:vAlign w:val="center"/>
          </w:tcPr>
          <w:p w14:paraId="35B5679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部门依据整体绩效目标所设定的绩效指标是否清晰、细化、可衡量。用以反映和考核部门整体绩效目标的明细化情况。</w:t>
            </w:r>
          </w:p>
        </w:tc>
        <w:tc>
          <w:tcPr>
            <w:tcW w:w="1634" w:type="pct"/>
            <w:tcBorders>
              <w:top w:val="nil"/>
              <w:left w:val="nil"/>
              <w:bottom w:val="single" w:color="auto" w:sz="4" w:space="0"/>
              <w:right w:val="single" w:color="auto" w:sz="4" w:space="0"/>
            </w:tcBorders>
            <w:shd w:val="clear" w:color="000000" w:fill="FFFFFF"/>
            <w:vAlign w:val="center"/>
          </w:tcPr>
          <w:p w14:paraId="26D81B2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1．是否将部门整体预算绩效目标细化分解为具体的工作任务；</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2．是否通过清晰、可衡量的量化指标值予以体现；</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3．是否与部门年度重点工作任务数相对应，并突出了核心绩效指标。</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以上评价要点各占1/3权重，每个要点执行情况分好、中、差三档，按100%-80%（含）、80%-60%（含）、60%-0%评分。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0748C1F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明确</w:t>
            </w:r>
          </w:p>
        </w:tc>
        <w:tc>
          <w:tcPr>
            <w:tcW w:w="264" w:type="pct"/>
            <w:tcBorders>
              <w:top w:val="nil"/>
              <w:left w:val="nil"/>
              <w:bottom w:val="single" w:color="auto" w:sz="4" w:space="0"/>
              <w:right w:val="single" w:color="auto" w:sz="4" w:space="0"/>
            </w:tcBorders>
            <w:shd w:val="clear" w:color="000000" w:fill="FFFFFF"/>
            <w:vAlign w:val="center"/>
          </w:tcPr>
          <w:p w14:paraId="59D67D8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000000" w:fill="FFFFFF"/>
            <w:vAlign w:val="center"/>
          </w:tcPr>
          <w:p w14:paraId="251BEDB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000000" w:fill="FFFFFF"/>
            <w:vAlign w:val="center"/>
          </w:tcPr>
          <w:p w14:paraId="5EF285A1">
            <w:pPr>
              <w:widowControl/>
              <w:spacing w:line="240" w:lineRule="auto"/>
              <w:ind w:firstLine="0" w:firstLineChars="0"/>
              <w:jc w:val="left"/>
              <w:rPr>
                <w:rFonts w:ascii="Times New Roman" w:hAnsi="Times New Roman" w:eastAsia="方正楷体_GBK" w:cs="Times New Roman"/>
                <w:color w:val="000000"/>
                <w:kern w:val="0"/>
                <w:sz w:val="22"/>
              </w:rPr>
            </w:pPr>
          </w:p>
        </w:tc>
      </w:tr>
      <w:tr w14:paraId="4ABCFEE3">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single" w:color="auto" w:sz="4" w:space="0"/>
              <w:right w:val="single" w:color="auto" w:sz="4" w:space="0"/>
            </w:tcBorders>
            <w:vAlign w:val="center"/>
          </w:tcPr>
          <w:p w14:paraId="59891EB0">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nil"/>
              <w:left w:val="single" w:color="auto" w:sz="4" w:space="0"/>
              <w:bottom w:val="single" w:color="auto" w:sz="4" w:space="0"/>
              <w:right w:val="single" w:color="auto" w:sz="4" w:space="0"/>
            </w:tcBorders>
            <w:shd w:val="clear" w:color="000000" w:fill="FFFFFF"/>
            <w:vAlign w:val="center"/>
          </w:tcPr>
          <w:p w14:paraId="7CCA50C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A4预算编制</w:t>
            </w:r>
          </w:p>
        </w:tc>
        <w:tc>
          <w:tcPr>
            <w:tcW w:w="490" w:type="pct"/>
            <w:tcBorders>
              <w:top w:val="nil"/>
              <w:left w:val="nil"/>
              <w:bottom w:val="single" w:color="auto" w:sz="4" w:space="0"/>
              <w:right w:val="single" w:color="auto" w:sz="4" w:space="0"/>
            </w:tcBorders>
            <w:shd w:val="clear" w:color="000000" w:fill="FFFFFF"/>
            <w:vAlign w:val="center"/>
          </w:tcPr>
          <w:p w14:paraId="7E93459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A41预算编制合理性</w:t>
            </w:r>
          </w:p>
        </w:tc>
        <w:tc>
          <w:tcPr>
            <w:tcW w:w="795" w:type="pct"/>
            <w:tcBorders>
              <w:top w:val="nil"/>
              <w:left w:val="nil"/>
              <w:bottom w:val="single" w:color="auto" w:sz="4" w:space="0"/>
              <w:right w:val="single" w:color="auto" w:sz="4" w:space="0"/>
            </w:tcBorders>
            <w:shd w:val="clear" w:color="000000" w:fill="FFFFFF"/>
            <w:vAlign w:val="center"/>
          </w:tcPr>
          <w:p w14:paraId="1165A80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部门整体预算编制是否经过科学论证，有明确标准，资金额度与年度目标是否相适应，有无重复交叉，重点支出是否有保障，用以反映和考核部门整体预算编制的科学性、合理性情况。</w:t>
            </w:r>
          </w:p>
        </w:tc>
        <w:tc>
          <w:tcPr>
            <w:tcW w:w="1634" w:type="pct"/>
            <w:tcBorders>
              <w:top w:val="nil"/>
              <w:left w:val="nil"/>
              <w:bottom w:val="single" w:color="auto" w:sz="4" w:space="0"/>
              <w:right w:val="single" w:color="auto" w:sz="4" w:space="0"/>
            </w:tcBorders>
            <w:shd w:val="clear" w:color="000000" w:fill="FFFFFF"/>
            <w:vAlign w:val="center"/>
          </w:tcPr>
          <w:p w14:paraId="4B45D299">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1．基本支出与项目支出的预算编制依据是否充分，符合法律法规、部门职责、发展规划以及相关政策；</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2．基本支出预算是否按照规定标准编制；各项目预算测算依据是否充分，是否与工作任务相匹配，并经过科学论证；</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3．重点支出是否有保障；</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4．部门内容项目之间是否存在重复交叉，与其他部门项目是否存在重复交叉。</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以上评价要点各占1/4权重，每个要点执行情况分好、中、差三档。按100%-80%（含）、80%-60%（含）、60%-0%评分。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25C6F46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合理</w:t>
            </w:r>
          </w:p>
        </w:tc>
        <w:tc>
          <w:tcPr>
            <w:tcW w:w="264" w:type="pct"/>
            <w:tcBorders>
              <w:top w:val="nil"/>
              <w:left w:val="nil"/>
              <w:bottom w:val="single" w:color="auto" w:sz="4" w:space="0"/>
              <w:right w:val="single" w:color="auto" w:sz="4" w:space="0"/>
            </w:tcBorders>
            <w:shd w:val="clear" w:color="000000" w:fill="FFFFFF"/>
            <w:vAlign w:val="center"/>
          </w:tcPr>
          <w:p w14:paraId="630FE1B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26CE98D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366C47E7">
            <w:pPr>
              <w:widowControl/>
              <w:spacing w:line="240" w:lineRule="auto"/>
              <w:ind w:firstLine="0" w:firstLineChars="0"/>
              <w:jc w:val="left"/>
              <w:rPr>
                <w:rFonts w:ascii="Times New Roman" w:hAnsi="Times New Roman" w:eastAsia="方正楷体_GBK" w:cs="Times New Roman"/>
                <w:color w:val="000000"/>
                <w:kern w:val="0"/>
                <w:sz w:val="22"/>
              </w:rPr>
            </w:pPr>
          </w:p>
        </w:tc>
      </w:tr>
      <w:tr w14:paraId="37A2F686">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single" w:color="auto" w:sz="4" w:space="0"/>
              <w:right w:val="single" w:color="auto" w:sz="4" w:space="0"/>
            </w:tcBorders>
            <w:vAlign w:val="center"/>
          </w:tcPr>
          <w:p w14:paraId="38A28C7E">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auto" w:sz="4" w:space="0"/>
              <w:right w:val="single" w:color="auto" w:sz="4" w:space="0"/>
            </w:tcBorders>
            <w:vAlign w:val="center"/>
          </w:tcPr>
          <w:p w14:paraId="41F137DB">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4CEA4E0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A42预算编制规范性</w:t>
            </w:r>
          </w:p>
        </w:tc>
        <w:tc>
          <w:tcPr>
            <w:tcW w:w="795" w:type="pct"/>
            <w:tcBorders>
              <w:top w:val="nil"/>
              <w:left w:val="nil"/>
              <w:bottom w:val="single" w:color="auto" w:sz="4" w:space="0"/>
              <w:right w:val="single" w:color="auto" w:sz="4" w:space="0"/>
            </w:tcBorders>
            <w:shd w:val="clear" w:color="000000" w:fill="FFFFFF"/>
            <w:vAlign w:val="center"/>
          </w:tcPr>
          <w:p w14:paraId="47DC7AF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部门整体预算编制是否严格按照时间和流程要求执行，材料是否符合要求，用以反映和考核部门整体预算编制的规范化情况。</w:t>
            </w:r>
          </w:p>
        </w:tc>
        <w:tc>
          <w:tcPr>
            <w:tcW w:w="1634" w:type="pct"/>
            <w:tcBorders>
              <w:top w:val="nil"/>
              <w:left w:val="nil"/>
              <w:bottom w:val="single" w:color="auto" w:sz="4" w:space="0"/>
              <w:right w:val="single" w:color="auto" w:sz="4" w:space="0"/>
            </w:tcBorders>
            <w:shd w:val="clear" w:color="000000" w:fill="FFFFFF"/>
            <w:vAlign w:val="center"/>
          </w:tcPr>
          <w:p w14:paraId="588262B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1．部门预算是否严格按照财政部门关于预算编制的时间和流程执行：</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2．各项目是否按照规定的程序申请设立，事前是否经过必要的可行性研究、专家论证、风险评估、绩效评估、集体决策等；</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3．审批文件、材料是否符合相关要求。</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以上评价要点各占1/3权重，每个要点执行情况分好、中、差三档，按100%-80%（含）、80%-60%（含）、60%-0%评分。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3BE20F1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规范</w:t>
            </w:r>
          </w:p>
        </w:tc>
        <w:tc>
          <w:tcPr>
            <w:tcW w:w="264" w:type="pct"/>
            <w:tcBorders>
              <w:top w:val="nil"/>
              <w:left w:val="nil"/>
              <w:bottom w:val="single" w:color="auto" w:sz="4" w:space="0"/>
              <w:right w:val="single" w:color="auto" w:sz="4" w:space="0"/>
            </w:tcBorders>
            <w:shd w:val="clear" w:color="000000" w:fill="FFFFFF"/>
            <w:vAlign w:val="center"/>
          </w:tcPr>
          <w:p w14:paraId="0A394CF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000000" w:fill="FFFFFF"/>
            <w:vAlign w:val="center"/>
          </w:tcPr>
          <w:p w14:paraId="4305754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000000" w:fill="FFFFFF"/>
            <w:vAlign w:val="center"/>
          </w:tcPr>
          <w:p w14:paraId="1E258626">
            <w:pPr>
              <w:widowControl/>
              <w:spacing w:line="240" w:lineRule="auto"/>
              <w:ind w:firstLine="0" w:firstLineChars="0"/>
              <w:jc w:val="left"/>
              <w:rPr>
                <w:rFonts w:ascii="Times New Roman" w:hAnsi="Times New Roman" w:eastAsia="方正楷体_GBK" w:cs="Times New Roman"/>
                <w:color w:val="000000"/>
                <w:kern w:val="0"/>
                <w:sz w:val="22"/>
              </w:rPr>
            </w:pPr>
          </w:p>
        </w:tc>
      </w:tr>
      <w:tr w14:paraId="217DF2C6">
        <w:tblPrEx>
          <w:tblCellMar>
            <w:top w:w="0" w:type="dxa"/>
            <w:left w:w="108" w:type="dxa"/>
            <w:bottom w:w="0" w:type="dxa"/>
            <w:right w:w="108" w:type="dxa"/>
          </w:tblCellMar>
        </w:tblPrEx>
        <w:trPr>
          <w:trHeight w:val="23" w:hRule="atLeast"/>
        </w:trPr>
        <w:tc>
          <w:tcPr>
            <w:tcW w:w="263" w:type="pct"/>
            <w:vMerge w:val="restart"/>
            <w:tcBorders>
              <w:top w:val="nil"/>
              <w:left w:val="single" w:color="auto" w:sz="4" w:space="0"/>
              <w:bottom w:val="nil"/>
              <w:right w:val="single" w:color="auto" w:sz="4" w:space="0"/>
            </w:tcBorders>
            <w:shd w:val="clear" w:color="000000" w:fill="FFFFFF"/>
            <w:vAlign w:val="center"/>
          </w:tcPr>
          <w:p w14:paraId="275C479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B过程</w:t>
            </w:r>
          </w:p>
        </w:tc>
        <w:tc>
          <w:tcPr>
            <w:tcW w:w="321" w:type="pct"/>
            <w:vMerge w:val="restart"/>
            <w:tcBorders>
              <w:top w:val="nil"/>
              <w:left w:val="single" w:color="auto" w:sz="4" w:space="0"/>
              <w:bottom w:val="nil"/>
              <w:right w:val="single" w:color="auto" w:sz="4" w:space="0"/>
            </w:tcBorders>
            <w:shd w:val="clear" w:color="000000" w:fill="FFFFFF"/>
            <w:vAlign w:val="center"/>
          </w:tcPr>
          <w:p w14:paraId="5D6C217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B1预算执行</w:t>
            </w:r>
          </w:p>
        </w:tc>
        <w:tc>
          <w:tcPr>
            <w:tcW w:w="490" w:type="pct"/>
            <w:tcBorders>
              <w:top w:val="nil"/>
              <w:left w:val="nil"/>
              <w:bottom w:val="single" w:color="auto" w:sz="4" w:space="0"/>
              <w:right w:val="single" w:color="auto" w:sz="4" w:space="0"/>
            </w:tcBorders>
            <w:shd w:val="clear" w:color="auto" w:fill="auto"/>
            <w:vAlign w:val="center"/>
          </w:tcPr>
          <w:p w14:paraId="33086A2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B11非税收入预算完成率</w:t>
            </w:r>
          </w:p>
        </w:tc>
        <w:tc>
          <w:tcPr>
            <w:tcW w:w="795" w:type="pct"/>
            <w:tcBorders>
              <w:top w:val="nil"/>
              <w:left w:val="nil"/>
              <w:bottom w:val="single" w:color="auto" w:sz="4" w:space="0"/>
              <w:right w:val="single" w:color="auto" w:sz="4" w:space="0"/>
            </w:tcBorders>
            <w:shd w:val="clear" w:color="auto" w:fill="auto"/>
            <w:vAlign w:val="center"/>
          </w:tcPr>
          <w:p w14:paraId="39FAB16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本年度实际非税收入完成数与年初非税收入预算数的比率，用以反映和考核单位非税收入完成执行情况。</w:t>
            </w:r>
          </w:p>
        </w:tc>
        <w:tc>
          <w:tcPr>
            <w:tcW w:w="1634" w:type="pct"/>
            <w:tcBorders>
              <w:top w:val="nil"/>
              <w:left w:val="nil"/>
              <w:bottom w:val="single" w:color="auto" w:sz="4" w:space="0"/>
              <w:right w:val="single" w:color="auto" w:sz="4" w:space="0"/>
            </w:tcBorders>
            <w:shd w:val="clear" w:color="auto" w:fill="auto"/>
            <w:vAlign w:val="center"/>
          </w:tcPr>
          <w:p w14:paraId="2339F7A6">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349DF2BD">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非税收入预算完成率=（非税收入实际完成数/非税收入预算数）*100%；</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非税收入实际完成数：部门本年度实际完成的非税收入；</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预算数：财政部门批复的本年度部门非税收入预算数。</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得分=非税收入预算完成率*分值。</w:t>
            </w:r>
          </w:p>
        </w:tc>
        <w:tc>
          <w:tcPr>
            <w:tcW w:w="277" w:type="pct"/>
            <w:tcBorders>
              <w:top w:val="nil"/>
              <w:left w:val="nil"/>
              <w:bottom w:val="single" w:color="auto" w:sz="4" w:space="0"/>
              <w:right w:val="single" w:color="auto" w:sz="4" w:space="0"/>
            </w:tcBorders>
            <w:shd w:val="clear" w:color="auto" w:fill="auto"/>
            <w:vAlign w:val="center"/>
          </w:tcPr>
          <w:p w14:paraId="6E66CA5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100%</w:t>
            </w:r>
          </w:p>
        </w:tc>
        <w:tc>
          <w:tcPr>
            <w:tcW w:w="264" w:type="pct"/>
            <w:tcBorders>
              <w:top w:val="nil"/>
              <w:left w:val="nil"/>
              <w:bottom w:val="single" w:color="auto" w:sz="4" w:space="0"/>
              <w:right w:val="single" w:color="auto" w:sz="4" w:space="0"/>
            </w:tcBorders>
            <w:shd w:val="clear" w:color="auto" w:fill="auto"/>
            <w:vAlign w:val="center"/>
          </w:tcPr>
          <w:p w14:paraId="23E9BE2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auto" w:fill="auto"/>
            <w:vAlign w:val="center"/>
          </w:tcPr>
          <w:p w14:paraId="37E7ED7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0</w:t>
            </w:r>
          </w:p>
        </w:tc>
        <w:tc>
          <w:tcPr>
            <w:tcW w:w="691" w:type="pct"/>
            <w:tcBorders>
              <w:top w:val="nil"/>
              <w:left w:val="nil"/>
              <w:bottom w:val="single" w:color="auto" w:sz="4" w:space="0"/>
              <w:right w:val="single" w:color="auto" w:sz="4" w:space="0"/>
            </w:tcBorders>
            <w:shd w:val="clear" w:color="auto" w:fill="auto"/>
            <w:vAlign w:val="center"/>
          </w:tcPr>
          <w:p w14:paraId="0D5801CC">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年初无非税收入预算。</w:t>
            </w:r>
          </w:p>
        </w:tc>
      </w:tr>
      <w:tr w14:paraId="5B17BA3D">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007E98E4">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nil"/>
              <w:right w:val="single" w:color="auto" w:sz="4" w:space="0"/>
            </w:tcBorders>
            <w:vAlign w:val="center"/>
          </w:tcPr>
          <w:p w14:paraId="1C76DDBD">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0B13CE1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B12部门预算执行率</w:t>
            </w:r>
          </w:p>
        </w:tc>
        <w:tc>
          <w:tcPr>
            <w:tcW w:w="795" w:type="pct"/>
            <w:tcBorders>
              <w:top w:val="nil"/>
              <w:left w:val="nil"/>
              <w:bottom w:val="single" w:color="auto" w:sz="4" w:space="0"/>
              <w:right w:val="single" w:color="auto" w:sz="4" w:space="0"/>
            </w:tcBorders>
            <w:shd w:val="clear" w:color="000000" w:fill="FFFFFF"/>
            <w:vAlign w:val="center"/>
          </w:tcPr>
          <w:p w14:paraId="4B9C535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部门本年度预算完成数与预算数的比率，用以反映和考核部门预算完成程度。</w:t>
            </w:r>
          </w:p>
        </w:tc>
        <w:tc>
          <w:tcPr>
            <w:tcW w:w="1634" w:type="pct"/>
            <w:tcBorders>
              <w:top w:val="nil"/>
              <w:left w:val="nil"/>
              <w:bottom w:val="single" w:color="auto" w:sz="4" w:space="0"/>
              <w:right w:val="single" w:color="auto" w:sz="4" w:space="0"/>
            </w:tcBorders>
            <w:shd w:val="clear" w:color="000000" w:fill="FFFFFF"/>
            <w:vAlign w:val="center"/>
          </w:tcPr>
          <w:p w14:paraId="338EB506">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70577801">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预算执行率=（预算执行数/预算数）*100%；</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预算执行数：部门本年度实际完成的预算数；</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预算数：财政部门批复的本年度部门预算数。</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得分=预算执行率*分值。</w:t>
            </w:r>
          </w:p>
        </w:tc>
        <w:tc>
          <w:tcPr>
            <w:tcW w:w="277" w:type="pct"/>
            <w:tcBorders>
              <w:top w:val="nil"/>
              <w:left w:val="nil"/>
              <w:bottom w:val="single" w:color="auto" w:sz="4" w:space="0"/>
              <w:right w:val="single" w:color="auto" w:sz="4" w:space="0"/>
            </w:tcBorders>
            <w:shd w:val="clear" w:color="000000" w:fill="FFFFFF"/>
            <w:vAlign w:val="center"/>
          </w:tcPr>
          <w:p w14:paraId="3D19063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100%</w:t>
            </w:r>
          </w:p>
        </w:tc>
        <w:tc>
          <w:tcPr>
            <w:tcW w:w="264" w:type="pct"/>
            <w:tcBorders>
              <w:top w:val="nil"/>
              <w:left w:val="nil"/>
              <w:bottom w:val="single" w:color="auto" w:sz="4" w:space="0"/>
              <w:right w:val="single" w:color="auto" w:sz="4" w:space="0"/>
            </w:tcBorders>
            <w:shd w:val="clear" w:color="000000" w:fill="FFFFFF"/>
            <w:vAlign w:val="center"/>
          </w:tcPr>
          <w:p w14:paraId="021F017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3DE81A8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0.99</w:t>
            </w:r>
          </w:p>
        </w:tc>
        <w:tc>
          <w:tcPr>
            <w:tcW w:w="691" w:type="pct"/>
            <w:tcBorders>
              <w:top w:val="nil"/>
              <w:left w:val="nil"/>
              <w:bottom w:val="single" w:color="auto" w:sz="4" w:space="0"/>
              <w:right w:val="single" w:color="auto" w:sz="4" w:space="0"/>
            </w:tcBorders>
            <w:shd w:val="clear" w:color="000000" w:fill="FFFFFF"/>
            <w:vAlign w:val="center"/>
          </w:tcPr>
          <w:p w14:paraId="41EAA096">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年初部门预算收入12,211.35万元，年度决算支出12,045.59万元，预算执行率98.64%。按照评分标准，扣0.01分。</w:t>
            </w:r>
          </w:p>
        </w:tc>
      </w:tr>
      <w:tr w14:paraId="3CCE1C75">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7F1C7927">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nil"/>
              <w:right w:val="single" w:color="auto" w:sz="4" w:space="0"/>
            </w:tcBorders>
            <w:vAlign w:val="center"/>
          </w:tcPr>
          <w:p w14:paraId="5AC3CA57">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255C75A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B13预算调整率</w:t>
            </w:r>
          </w:p>
        </w:tc>
        <w:tc>
          <w:tcPr>
            <w:tcW w:w="795" w:type="pct"/>
            <w:tcBorders>
              <w:top w:val="nil"/>
              <w:left w:val="nil"/>
              <w:bottom w:val="single" w:color="auto" w:sz="4" w:space="0"/>
              <w:right w:val="single" w:color="auto" w:sz="4" w:space="0"/>
            </w:tcBorders>
            <w:shd w:val="clear" w:color="000000" w:fill="FFFFFF"/>
            <w:vAlign w:val="center"/>
          </w:tcPr>
          <w:p w14:paraId="5B1F998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部门本年度预算调整数与预算数的比率，用以反映和考核部门预算的调整程度。</w:t>
            </w:r>
          </w:p>
        </w:tc>
        <w:tc>
          <w:tcPr>
            <w:tcW w:w="1634" w:type="pct"/>
            <w:tcBorders>
              <w:top w:val="nil"/>
              <w:left w:val="nil"/>
              <w:bottom w:val="single" w:color="auto" w:sz="4" w:space="0"/>
              <w:right w:val="single" w:color="auto" w:sz="4" w:space="0"/>
            </w:tcBorders>
            <w:shd w:val="clear" w:color="000000" w:fill="FFFFFF"/>
            <w:vAlign w:val="center"/>
          </w:tcPr>
          <w:p w14:paraId="7A111D16">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43625292">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预算调整率=（预算调整数/预算数）*100%；</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预算调整数：部门（单位）在本年度内涉及预算的追加、追减或结构调整的资金总和（因落实国家政策、发生不可抗力、上级部门或本级党委、政府临时交办而产生的调整及上级转移支付金额调整除外）。</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1．比率=0%，得满分；2．20%≤比率＜0%，每增加1%，扣5%的权重分；3．比率＞20%，不得分。</w:t>
            </w:r>
          </w:p>
        </w:tc>
        <w:tc>
          <w:tcPr>
            <w:tcW w:w="277" w:type="pct"/>
            <w:tcBorders>
              <w:top w:val="nil"/>
              <w:left w:val="nil"/>
              <w:bottom w:val="single" w:color="auto" w:sz="4" w:space="0"/>
              <w:right w:val="single" w:color="auto" w:sz="4" w:space="0"/>
            </w:tcBorders>
            <w:shd w:val="clear" w:color="000000" w:fill="FFFFFF"/>
            <w:vAlign w:val="center"/>
          </w:tcPr>
          <w:p w14:paraId="6DD3B11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0%</w:t>
            </w:r>
          </w:p>
        </w:tc>
        <w:tc>
          <w:tcPr>
            <w:tcW w:w="264" w:type="pct"/>
            <w:tcBorders>
              <w:top w:val="nil"/>
              <w:left w:val="nil"/>
              <w:bottom w:val="single" w:color="auto" w:sz="4" w:space="0"/>
              <w:right w:val="single" w:color="auto" w:sz="4" w:space="0"/>
            </w:tcBorders>
            <w:shd w:val="clear" w:color="000000" w:fill="FFFFFF"/>
            <w:vAlign w:val="center"/>
          </w:tcPr>
          <w:p w14:paraId="523E2DC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17BBB27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0.95</w:t>
            </w:r>
          </w:p>
        </w:tc>
        <w:tc>
          <w:tcPr>
            <w:tcW w:w="691" w:type="pct"/>
            <w:tcBorders>
              <w:top w:val="nil"/>
              <w:left w:val="nil"/>
              <w:bottom w:val="single" w:color="auto" w:sz="4" w:space="0"/>
              <w:right w:val="single" w:color="auto" w:sz="4" w:space="0"/>
            </w:tcBorders>
            <w:shd w:val="clear" w:color="000000" w:fill="FFFFFF"/>
            <w:vAlign w:val="center"/>
          </w:tcPr>
          <w:p w14:paraId="5377DC3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预算调整数82.9万元，预算数12,211.35万元，预算调整率0.68%。按照评分标准，扣0.05分。</w:t>
            </w:r>
          </w:p>
        </w:tc>
      </w:tr>
      <w:tr w14:paraId="2E31CA50">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33A42254">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nil"/>
              <w:right w:val="single" w:color="auto" w:sz="4" w:space="0"/>
            </w:tcBorders>
            <w:vAlign w:val="center"/>
          </w:tcPr>
          <w:p w14:paraId="392DED9A">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6833F31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B14支付进度符合率</w:t>
            </w:r>
          </w:p>
        </w:tc>
        <w:tc>
          <w:tcPr>
            <w:tcW w:w="795" w:type="pct"/>
            <w:tcBorders>
              <w:top w:val="nil"/>
              <w:left w:val="nil"/>
              <w:bottom w:val="single" w:color="auto" w:sz="4" w:space="0"/>
              <w:right w:val="single" w:color="auto" w:sz="4" w:space="0"/>
            </w:tcBorders>
            <w:shd w:val="clear" w:color="000000" w:fill="FFFFFF"/>
            <w:vAlign w:val="center"/>
          </w:tcPr>
          <w:p w14:paraId="4D371D9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部门实际支付进度与既定支付进度的比率，用以反映和考核部门预算执行的及时性和均衡性程度。</w:t>
            </w:r>
          </w:p>
        </w:tc>
        <w:tc>
          <w:tcPr>
            <w:tcW w:w="1634" w:type="pct"/>
            <w:tcBorders>
              <w:top w:val="nil"/>
              <w:left w:val="nil"/>
              <w:bottom w:val="single" w:color="auto" w:sz="4" w:space="0"/>
              <w:right w:val="single" w:color="auto" w:sz="4" w:space="0"/>
            </w:tcBorders>
            <w:shd w:val="clear" w:color="000000" w:fill="FFFFFF"/>
            <w:vAlign w:val="center"/>
          </w:tcPr>
          <w:p w14:paraId="6F44A9B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70E1212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支付进度符合率=（实际支付进度/既定支付进度）*100%。</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实际支付进度：部门在规定时点（如半年度）的支出预算执行总数与年度支出预算数的比率。</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既定支付进度：由部门在申报部门整体绩效目标时，参照序时支付进度、前三年支付进度、同级部门平均支付进度水平等确定的，在规定时点（如半年度）应达到的支付进度（比率）。</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得分=支付进度符合率*分值。</w:t>
            </w:r>
          </w:p>
        </w:tc>
        <w:tc>
          <w:tcPr>
            <w:tcW w:w="277" w:type="pct"/>
            <w:tcBorders>
              <w:top w:val="nil"/>
              <w:left w:val="nil"/>
              <w:bottom w:val="single" w:color="auto" w:sz="4" w:space="0"/>
              <w:right w:val="single" w:color="auto" w:sz="4" w:space="0"/>
            </w:tcBorders>
            <w:shd w:val="clear" w:color="000000" w:fill="FFFFFF"/>
            <w:vAlign w:val="center"/>
          </w:tcPr>
          <w:p w14:paraId="430548C4">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100%</w:t>
            </w:r>
          </w:p>
        </w:tc>
        <w:tc>
          <w:tcPr>
            <w:tcW w:w="264" w:type="pct"/>
            <w:tcBorders>
              <w:top w:val="nil"/>
              <w:left w:val="nil"/>
              <w:bottom w:val="single" w:color="auto" w:sz="4" w:space="0"/>
              <w:right w:val="single" w:color="auto" w:sz="4" w:space="0"/>
            </w:tcBorders>
            <w:shd w:val="clear" w:color="000000" w:fill="FFFFFF"/>
            <w:vAlign w:val="center"/>
          </w:tcPr>
          <w:p w14:paraId="5440A70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5DB92D64">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669FFAEA">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支付进度符合率为100%。</w:t>
            </w:r>
          </w:p>
        </w:tc>
      </w:tr>
      <w:tr w14:paraId="27E7C9E1">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1A8E59C5">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nil"/>
              <w:right w:val="single" w:color="auto" w:sz="4" w:space="0"/>
            </w:tcBorders>
            <w:vAlign w:val="center"/>
          </w:tcPr>
          <w:p w14:paraId="3391DD10">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2A933F3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B15结转结余率</w:t>
            </w:r>
          </w:p>
        </w:tc>
        <w:tc>
          <w:tcPr>
            <w:tcW w:w="795" w:type="pct"/>
            <w:tcBorders>
              <w:top w:val="nil"/>
              <w:left w:val="nil"/>
              <w:bottom w:val="single" w:color="auto" w:sz="4" w:space="0"/>
              <w:right w:val="single" w:color="auto" w:sz="4" w:space="0"/>
            </w:tcBorders>
            <w:shd w:val="clear" w:color="000000" w:fill="FFFFFF"/>
            <w:vAlign w:val="center"/>
          </w:tcPr>
          <w:p w14:paraId="5722E7E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部门本年度结转结余总额与调整预算数的比率，用以反映和考核部门对本年度结转结余资金的实际控制程度。</w:t>
            </w:r>
          </w:p>
        </w:tc>
        <w:tc>
          <w:tcPr>
            <w:tcW w:w="1634" w:type="pct"/>
            <w:tcBorders>
              <w:top w:val="nil"/>
              <w:left w:val="nil"/>
              <w:bottom w:val="single" w:color="auto" w:sz="4" w:space="0"/>
              <w:right w:val="single" w:color="auto" w:sz="4" w:space="0"/>
            </w:tcBorders>
            <w:shd w:val="clear" w:color="000000" w:fill="FFFFFF"/>
            <w:vAlign w:val="center"/>
          </w:tcPr>
          <w:p w14:paraId="54D92E6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2921BADF">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结转结余率=结转结余总额/调整预算数。*100%。</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结转结余总额：部门本年度的结转资金与结余资金之和（以决算数为准，“三公”经费未执行数和政府采购节约资金等视同已支出）。</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I．比率=0%，得满分；</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2．10%≥比率＞0%，每增加1%，扣10%的权重分；</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3．比率＞10%，不得分。</w:t>
            </w:r>
          </w:p>
        </w:tc>
        <w:tc>
          <w:tcPr>
            <w:tcW w:w="277" w:type="pct"/>
            <w:tcBorders>
              <w:top w:val="nil"/>
              <w:left w:val="nil"/>
              <w:bottom w:val="single" w:color="auto" w:sz="4" w:space="0"/>
              <w:right w:val="single" w:color="auto" w:sz="4" w:space="0"/>
            </w:tcBorders>
            <w:shd w:val="clear" w:color="000000" w:fill="FFFFFF"/>
            <w:vAlign w:val="center"/>
          </w:tcPr>
          <w:p w14:paraId="222606E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0%</w:t>
            </w:r>
          </w:p>
        </w:tc>
        <w:tc>
          <w:tcPr>
            <w:tcW w:w="264" w:type="pct"/>
            <w:tcBorders>
              <w:top w:val="nil"/>
              <w:left w:val="nil"/>
              <w:bottom w:val="single" w:color="auto" w:sz="4" w:space="0"/>
              <w:right w:val="single" w:color="auto" w:sz="4" w:space="0"/>
            </w:tcBorders>
            <w:shd w:val="clear" w:color="000000" w:fill="FFFFFF"/>
            <w:vAlign w:val="center"/>
          </w:tcPr>
          <w:p w14:paraId="10B9F76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76C35BC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0.9</w:t>
            </w:r>
          </w:p>
        </w:tc>
        <w:tc>
          <w:tcPr>
            <w:tcW w:w="691" w:type="pct"/>
            <w:tcBorders>
              <w:top w:val="nil"/>
              <w:left w:val="nil"/>
              <w:bottom w:val="single" w:color="auto" w:sz="4" w:space="0"/>
              <w:right w:val="single" w:color="auto" w:sz="4" w:space="0"/>
            </w:tcBorders>
            <w:shd w:val="clear" w:color="000000" w:fill="FFFFFF"/>
            <w:vAlign w:val="center"/>
          </w:tcPr>
          <w:p w14:paraId="49AD871B">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本年度结转结余总额82.86万元，调整预算数12,128.45万元，结转结余率0.68%。按照评分标准，扣0.1分。</w:t>
            </w:r>
          </w:p>
        </w:tc>
      </w:tr>
      <w:tr w14:paraId="28991988">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7B8B176D">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nil"/>
              <w:right w:val="single" w:color="auto" w:sz="4" w:space="0"/>
            </w:tcBorders>
            <w:vAlign w:val="center"/>
          </w:tcPr>
          <w:p w14:paraId="70482EBA">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04A1B924">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B16公用经费控制率</w:t>
            </w:r>
          </w:p>
        </w:tc>
        <w:tc>
          <w:tcPr>
            <w:tcW w:w="795" w:type="pct"/>
            <w:tcBorders>
              <w:top w:val="nil"/>
              <w:left w:val="nil"/>
              <w:bottom w:val="single" w:color="auto" w:sz="4" w:space="0"/>
              <w:right w:val="single" w:color="auto" w:sz="4" w:space="0"/>
            </w:tcBorders>
            <w:shd w:val="clear" w:color="000000" w:fill="FFFFFF"/>
            <w:vAlign w:val="center"/>
          </w:tcPr>
          <w:p w14:paraId="27E1798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部门本年度实际支出的公用经费总额与预算安排的公用经费总额的比率。用以反映和考核部门对机构运转成本的实际控制程度。</w:t>
            </w:r>
          </w:p>
        </w:tc>
        <w:tc>
          <w:tcPr>
            <w:tcW w:w="1634" w:type="pct"/>
            <w:tcBorders>
              <w:top w:val="nil"/>
              <w:left w:val="nil"/>
              <w:bottom w:val="single" w:color="auto" w:sz="4" w:space="0"/>
              <w:right w:val="single" w:color="auto" w:sz="4" w:space="0"/>
            </w:tcBorders>
            <w:shd w:val="clear" w:color="000000" w:fill="FFFFFF"/>
            <w:vAlign w:val="center"/>
          </w:tcPr>
          <w:p w14:paraId="6B28CF4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0EE272EC">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公用经费控制率=（实际支出公用经费总额/预算安排公用经费总额）*100%。</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比率≤100%，得满分；比率＞100%，不得分。</w:t>
            </w:r>
          </w:p>
        </w:tc>
        <w:tc>
          <w:tcPr>
            <w:tcW w:w="277" w:type="pct"/>
            <w:tcBorders>
              <w:top w:val="nil"/>
              <w:left w:val="nil"/>
              <w:bottom w:val="single" w:color="auto" w:sz="4" w:space="0"/>
              <w:right w:val="single" w:color="auto" w:sz="4" w:space="0"/>
            </w:tcBorders>
            <w:shd w:val="clear" w:color="000000" w:fill="FFFFFF"/>
            <w:vAlign w:val="center"/>
          </w:tcPr>
          <w:p w14:paraId="66212FB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100%</w:t>
            </w:r>
          </w:p>
        </w:tc>
        <w:tc>
          <w:tcPr>
            <w:tcW w:w="264" w:type="pct"/>
            <w:tcBorders>
              <w:top w:val="nil"/>
              <w:left w:val="nil"/>
              <w:bottom w:val="single" w:color="auto" w:sz="4" w:space="0"/>
              <w:right w:val="single" w:color="auto" w:sz="4" w:space="0"/>
            </w:tcBorders>
            <w:shd w:val="clear" w:color="000000" w:fill="FFFFFF"/>
            <w:vAlign w:val="center"/>
          </w:tcPr>
          <w:p w14:paraId="782D9CB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7D343D9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49C1509D">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因公出国（境）费由财政单项审批，不列入计算内容。公务用车购置和运行维护费经费控制率71.75%。</w:t>
            </w:r>
          </w:p>
        </w:tc>
      </w:tr>
      <w:tr w14:paraId="09FFEBD0">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36E7C8C6">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nil"/>
              <w:right w:val="single" w:color="auto" w:sz="4" w:space="0"/>
            </w:tcBorders>
            <w:vAlign w:val="center"/>
          </w:tcPr>
          <w:p w14:paraId="4961F621">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12333CC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B17“三公”经费变动率</w:t>
            </w:r>
          </w:p>
        </w:tc>
        <w:tc>
          <w:tcPr>
            <w:tcW w:w="795" w:type="pct"/>
            <w:tcBorders>
              <w:top w:val="nil"/>
              <w:left w:val="nil"/>
              <w:bottom w:val="single" w:color="auto" w:sz="4" w:space="0"/>
              <w:right w:val="single" w:color="auto" w:sz="4" w:space="0"/>
            </w:tcBorders>
            <w:shd w:val="clear" w:color="000000" w:fill="FFFFFF"/>
            <w:vAlign w:val="center"/>
          </w:tcPr>
          <w:p w14:paraId="58E1952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部门本年度“三公”经费预算数与上年度“三公”经费预算数的变动比率，用以反映和考核部门对控制重点行政成本的努力程度。</w:t>
            </w:r>
          </w:p>
        </w:tc>
        <w:tc>
          <w:tcPr>
            <w:tcW w:w="1634" w:type="pct"/>
            <w:tcBorders>
              <w:top w:val="nil"/>
              <w:left w:val="nil"/>
              <w:bottom w:val="single" w:color="auto" w:sz="4" w:space="0"/>
              <w:right w:val="single" w:color="auto" w:sz="4" w:space="0"/>
            </w:tcBorders>
            <w:shd w:val="clear" w:color="000000" w:fill="FFFFFF"/>
            <w:vAlign w:val="center"/>
          </w:tcPr>
          <w:p w14:paraId="7068E80D">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0B9AEA3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“三公”经费变动率=［（本年度“三公”经费总额-上年度“三公”经费总额）/上年度“三公”经费总额]*100%。</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“三公”经费：年度预算安排的因公出国（境）费、公务车辆购置及运行费和公务招待费。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计分规则：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1．比率≤0%，得满分；</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2．比率＞0%，不得分。</w:t>
            </w:r>
          </w:p>
        </w:tc>
        <w:tc>
          <w:tcPr>
            <w:tcW w:w="277" w:type="pct"/>
            <w:tcBorders>
              <w:top w:val="nil"/>
              <w:left w:val="nil"/>
              <w:bottom w:val="single" w:color="auto" w:sz="4" w:space="0"/>
              <w:right w:val="single" w:color="auto" w:sz="4" w:space="0"/>
            </w:tcBorders>
            <w:shd w:val="clear" w:color="000000" w:fill="FFFFFF"/>
            <w:vAlign w:val="center"/>
          </w:tcPr>
          <w:p w14:paraId="4B9298C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0%</w:t>
            </w:r>
          </w:p>
        </w:tc>
        <w:tc>
          <w:tcPr>
            <w:tcW w:w="264" w:type="pct"/>
            <w:tcBorders>
              <w:top w:val="nil"/>
              <w:left w:val="nil"/>
              <w:bottom w:val="single" w:color="auto" w:sz="4" w:space="0"/>
              <w:right w:val="single" w:color="auto" w:sz="4" w:space="0"/>
            </w:tcBorders>
            <w:shd w:val="clear" w:color="000000" w:fill="FFFFFF"/>
            <w:vAlign w:val="center"/>
          </w:tcPr>
          <w:p w14:paraId="730536D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7DAEA3B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0</w:t>
            </w:r>
          </w:p>
        </w:tc>
        <w:tc>
          <w:tcPr>
            <w:tcW w:w="691" w:type="pct"/>
            <w:tcBorders>
              <w:top w:val="nil"/>
              <w:left w:val="nil"/>
              <w:bottom w:val="single" w:color="auto" w:sz="4" w:space="0"/>
              <w:right w:val="single" w:color="auto" w:sz="4" w:space="0"/>
            </w:tcBorders>
            <w:shd w:val="clear" w:color="000000" w:fill="FFFFFF"/>
            <w:vAlign w:val="center"/>
          </w:tcPr>
          <w:p w14:paraId="39DC1A42">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2023年度南京市发改委(本级)“三公”经费年初预算18.22万元，2024年度“三公”经费年初预算19.72万元，“三公”经费变动率为8.23%。按照评分标准，不得分。</w:t>
            </w:r>
          </w:p>
        </w:tc>
      </w:tr>
      <w:tr w14:paraId="49C7F8B4">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49D6DA0E">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nil"/>
              <w:right w:val="single" w:color="auto" w:sz="4" w:space="0"/>
            </w:tcBorders>
            <w:vAlign w:val="center"/>
          </w:tcPr>
          <w:p w14:paraId="718AC525">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727A94A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B18政府采购政策执行率</w:t>
            </w:r>
          </w:p>
        </w:tc>
        <w:tc>
          <w:tcPr>
            <w:tcW w:w="795" w:type="pct"/>
            <w:tcBorders>
              <w:top w:val="nil"/>
              <w:left w:val="nil"/>
              <w:bottom w:val="single" w:color="auto" w:sz="4" w:space="0"/>
              <w:right w:val="single" w:color="auto" w:sz="4" w:space="0"/>
            </w:tcBorders>
            <w:shd w:val="clear" w:color="000000" w:fill="FFFFFF"/>
            <w:vAlign w:val="center"/>
          </w:tcPr>
          <w:p w14:paraId="03B906E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部门本年度实际政府采购金额与年初政府采购预算的比率，用以反映和考核部门政府采购预算执行情况。</w:t>
            </w:r>
          </w:p>
        </w:tc>
        <w:tc>
          <w:tcPr>
            <w:tcW w:w="1634" w:type="pct"/>
            <w:tcBorders>
              <w:top w:val="nil"/>
              <w:left w:val="nil"/>
              <w:bottom w:val="single" w:color="auto" w:sz="4" w:space="0"/>
              <w:right w:val="single" w:color="auto" w:sz="4" w:space="0"/>
            </w:tcBorders>
            <w:shd w:val="clear" w:color="000000" w:fill="FFFFFF"/>
            <w:vAlign w:val="center"/>
          </w:tcPr>
          <w:p w14:paraId="6811B428">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政府采购执行率=（实际政府采购金额/政府采购预算数）*100%；</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政府采购预算：采购机关根据事业发展计划和行政任务编制的，并经过规定程序批准的年度政府采购计划。</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得分=政府采购执行率*分值。</w:t>
            </w:r>
          </w:p>
        </w:tc>
        <w:tc>
          <w:tcPr>
            <w:tcW w:w="277" w:type="pct"/>
            <w:tcBorders>
              <w:top w:val="nil"/>
              <w:left w:val="nil"/>
              <w:bottom w:val="single" w:color="auto" w:sz="4" w:space="0"/>
              <w:right w:val="single" w:color="auto" w:sz="4" w:space="0"/>
            </w:tcBorders>
            <w:shd w:val="clear" w:color="000000" w:fill="FFFFFF"/>
            <w:vAlign w:val="center"/>
          </w:tcPr>
          <w:p w14:paraId="00A7C8D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100%</w:t>
            </w:r>
          </w:p>
        </w:tc>
        <w:tc>
          <w:tcPr>
            <w:tcW w:w="264" w:type="pct"/>
            <w:tcBorders>
              <w:top w:val="nil"/>
              <w:left w:val="nil"/>
              <w:bottom w:val="single" w:color="auto" w:sz="4" w:space="0"/>
              <w:right w:val="single" w:color="auto" w:sz="4" w:space="0"/>
            </w:tcBorders>
            <w:shd w:val="clear" w:color="000000" w:fill="FFFFFF"/>
            <w:vAlign w:val="center"/>
          </w:tcPr>
          <w:p w14:paraId="122BADA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40E50E2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02D9C4D7">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政府采购执行率为100%。</w:t>
            </w:r>
          </w:p>
        </w:tc>
      </w:tr>
      <w:tr w14:paraId="4A999537">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2BFF29EB">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CDC7C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B2预算管理</w:t>
            </w:r>
          </w:p>
        </w:tc>
        <w:tc>
          <w:tcPr>
            <w:tcW w:w="490" w:type="pct"/>
            <w:tcBorders>
              <w:top w:val="nil"/>
              <w:left w:val="nil"/>
              <w:bottom w:val="single" w:color="auto" w:sz="4" w:space="0"/>
              <w:right w:val="single" w:color="auto" w:sz="4" w:space="0"/>
            </w:tcBorders>
            <w:shd w:val="clear" w:color="000000" w:fill="FFFFFF"/>
            <w:vAlign w:val="center"/>
          </w:tcPr>
          <w:p w14:paraId="24FD765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B21管理制度健全性</w:t>
            </w:r>
          </w:p>
        </w:tc>
        <w:tc>
          <w:tcPr>
            <w:tcW w:w="795" w:type="pct"/>
            <w:tcBorders>
              <w:top w:val="nil"/>
              <w:left w:val="nil"/>
              <w:bottom w:val="single" w:color="auto" w:sz="4" w:space="0"/>
              <w:right w:val="single" w:color="auto" w:sz="4" w:space="0"/>
            </w:tcBorders>
            <w:shd w:val="clear" w:color="000000" w:fill="FFFFFF"/>
            <w:vAlign w:val="center"/>
          </w:tcPr>
          <w:p w14:paraId="353104F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部门为加强预算管理，规范财务行为而制定的管理制度是否健全完整，用以反映和考核部门预算管理制度对完成主要职责或促进事业发展的保障情况。</w:t>
            </w:r>
          </w:p>
        </w:tc>
        <w:tc>
          <w:tcPr>
            <w:tcW w:w="1634" w:type="pct"/>
            <w:tcBorders>
              <w:top w:val="nil"/>
              <w:left w:val="nil"/>
              <w:bottom w:val="single" w:color="auto" w:sz="4" w:space="0"/>
              <w:right w:val="single" w:color="auto" w:sz="4" w:space="0"/>
            </w:tcBorders>
            <w:shd w:val="clear" w:color="000000" w:fill="FFFFFF"/>
            <w:vAlign w:val="center"/>
          </w:tcPr>
          <w:p w14:paraId="63139F31">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1．是否制定预算资金管理办法，内部财务管理制度，会计核算制度等管理制度（包括收入与支出）；</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2．相关资金管理制度（包括收入与支出）是否合法合规，内容完整。</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以上评价要点各占1/2权重。每个要点执行情况分好、中、差三档，按100%-80%（含）、80%-60%（含）、60%-0%评分。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7B393F7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健全</w:t>
            </w:r>
          </w:p>
        </w:tc>
        <w:tc>
          <w:tcPr>
            <w:tcW w:w="264" w:type="pct"/>
            <w:tcBorders>
              <w:top w:val="nil"/>
              <w:left w:val="nil"/>
              <w:bottom w:val="single" w:color="auto" w:sz="4" w:space="0"/>
              <w:right w:val="single" w:color="auto" w:sz="4" w:space="0"/>
            </w:tcBorders>
            <w:shd w:val="clear" w:color="000000" w:fill="FFFFFF"/>
            <w:vAlign w:val="center"/>
          </w:tcPr>
          <w:p w14:paraId="65D44E7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4638EBA4">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62CF2FE6">
            <w:pPr>
              <w:widowControl/>
              <w:spacing w:line="240" w:lineRule="auto"/>
              <w:ind w:firstLine="0" w:firstLineChars="0"/>
              <w:jc w:val="left"/>
              <w:rPr>
                <w:rFonts w:ascii="Times New Roman" w:hAnsi="Times New Roman" w:eastAsia="方正楷体_GBK" w:cs="Times New Roman"/>
                <w:color w:val="000000"/>
                <w:kern w:val="0"/>
                <w:sz w:val="22"/>
              </w:rPr>
            </w:pPr>
          </w:p>
        </w:tc>
      </w:tr>
      <w:tr w14:paraId="45B2E18E">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38B2689B">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single" w:color="auto" w:sz="4" w:space="0"/>
              <w:left w:val="single" w:color="auto" w:sz="4" w:space="0"/>
              <w:bottom w:val="single" w:color="auto" w:sz="4" w:space="0"/>
              <w:right w:val="single" w:color="auto" w:sz="4" w:space="0"/>
            </w:tcBorders>
            <w:vAlign w:val="center"/>
          </w:tcPr>
          <w:p w14:paraId="3EB7A32D">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7A8800D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B22资金管理使用合规性</w:t>
            </w:r>
          </w:p>
        </w:tc>
        <w:tc>
          <w:tcPr>
            <w:tcW w:w="795" w:type="pct"/>
            <w:tcBorders>
              <w:top w:val="nil"/>
              <w:left w:val="nil"/>
              <w:bottom w:val="single" w:color="auto" w:sz="4" w:space="0"/>
              <w:right w:val="single" w:color="auto" w:sz="4" w:space="0"/>
            </w:tcBorders>
            <w:shd w:val="clear" w:color="000000" w:fill="FFFFFF"/>
            <w:vAlign w:val="center"/>
          </w:tcPr>
          <w:p w14:paraId="058C5E7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部门使用预算资金是否符合相关的预算财务管理制度的规定，用以反映和考核部门预算资金的规范运行情况。</w:t>
            </w:r>
          </w:p>
        </w:tc>
        <w:tc>
          <w:tcPr>
            <w:tcW w:w="1634" w:type="pct"/>
            <w:tcBorders>
              <w:top w:val="nil"/>
              <w:left w:val="nil"/>
              <w:bottom w:val="single" w:color="auto" w:sz="4" w:space="0"/>
              <w:right w:val="single" w:color="auto" w:sz="4" w:space="0"/>
            </w:tcBorders>
            <w:shd w:val="clear" w:color="000000" w:fill="FFFFFF"/>
            <w:vAlign w:val="center"/>
          </w:tcPr>
          <w:p w14:paraId="07182AB9">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1．资金管理使用（包括收入与支出）是否符合国家财经法规和相关管理制度的规定，是否存在截留、挤占、挪用和虚列支出等非专款专用的情况；</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2．资金的收缴和支付是否有完整的程序和手续；</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3．公用经费是否存在超标准支出情况，项目支出与公用经费是否存在重复交叉。</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评分规则：以上评价要点各占1/3权重，每个要点执行情况分好、中、差三档，按100%-80％（含）、80％-60%（含）、60%-0%评分。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15867C6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100%</w:t>
            </w:r>
          </w:p>
        </w:tc>
        <w:tc>
          <w:tcPr>
            <w:tcW w:w="264" w:type="pct"/>
            <w:tcBorders>
              <w:top w:val="nil"/>
              <w:left w:val="nil"/>
              <w:bottom w:val="single" w:color="auto" w:sz="4" w:space="0"/>
              <w:right w:val="single" w:color="auto" w:sz="4" w:space="0"/>
            </w:tcBorders>
            <w:shd w:val="clear" w:color="000000" w:fill="FFFFFF"/>
            <w:vAlign w:val="center"/>
          </w:tcPr>
          <w:p w14:paraId="4836248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16A148E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72E6BB64">
            <w:pPr>
              <w:widowControl/>
              <w:spacing w:line="240" w:lineRule="auto"/>
              <w:ind w:firstLine="0" w:firstLineChars="0"/>
              <w:jc w:val="left"/>
              <w:rPr>
                <w:rFonts w:ascii="Times New Roman" w:hAnsi="Times New Roman" w:eastAsia="方正楷体_GBK" w:cs="Times New Roman"/>
                <w:color w:val="000000"/>
                <w:kern w:val="0"/>
                <w:sz w:val="22"/>
              </w:rPr>
            </w:pPr>
          </w:p>
        </w:tc>
      </w:tr>
      <w:tr w14:paraId="00C48C43">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5F0DF930">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single" w:color="auto" w:sz="4" w:space="0"/>
              <w:left w:val="single" w:color="auto" w:sz="4" w:space="0"/>
              <w:bottom w:val="single" w:color="auto" w:sz="4" w:space="0"/>
              <w:right w:val="single" w:color="auto" w:sz="4" w:space="0"/>
            </w:tcBorders>
            <w:vAlign w:val="center"/>
          </w:tcPr>
          <w:p w14:paraId="7512D94D">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1CF07974">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B23预决算信息公开度</w:t>
            </w:r>
          </w:p>
        </w:tc>
        <w:tc>
          <w:tcPr>
            <w:tcW w:w="795" w:type="pct"/>
            <w:tcBorders>
              <w:top w:val="nil"/>
              <w:left w:val="nil"/>
              <w:bottom w:val="single" w:color="auto" w:sz="4" w:space="0"/>
              <w:right w:val="single" w:color="auto" w:sz="4" w:space="0"/>
            </w:tcBorders>
            <w:shd w:val="clear" w:color="000000" w:fill="FFFFFF"/>
            <w:vAlign w:val="center"/>
          </w:tcPr>
          <w:p w14:paraId="65592AC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部门是否按照政府信息公开有关规定公开相关预决算信息，用以反映和考核部门预决算管理的公开透明情况。</w:t>
            </w:r>
          </w:p>
        </w:tc>
        <w:tc>
          <w:tcPr>
            <w:tcW w:w="1634" w:type="pct"/>
            <w:tcBorders>
              <w:top w:val="nil"/>
              <w:left w:val="nil"/>
              <w:bottom w:val="single" w:color="auto" w:sz="4" w:space="0"/>
              <w:right w:val="single" w:color="auto" w:sz="4" w:space="0"/>
            </w:tcBorders>
            <w:shd w:val="clear" w:color="000000" w:fill="FFFFFF"/>
            <w:vAlign w:val="center"/>
          </w:tcPr>
          <w:p w14:paraId="0226E93A">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1．是否按规定内容公开预决算信息；</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2．是否按规定时限公开预决算信息预决算信息是指与部门预算、执行、决算、监督、绩效等管理相关的信息。</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以上评价要点各占1/2权重，每个要点执行情况分好、中、差三档，按100%-80%（含）、80%-60%（含）、60%-0%评分。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3E378B7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公开</w:t>
            </w:r>
          </w:p>
        </w:tc>
        <w:tc>
          <w:tcPr>
            <w:tcW w:w="264" w:type="pct"/>
            <w:tcBorders>
              <w:top w:val="nil"/>
              <w:left w:val="nil"/>
              <w:bottom w:val="single" w:color="auto" w:sz="4" w:space="0"/>
              <w:right w:val="single" w:color="auto" w:sz="4" w:space="0"/>
            </w:tcBorders>
            <w:shd w:val="clear" w:color="000000" w:fill="FFFFFF"/>
            <w:vAlign w:val="center"/>
          </w:tcPr>
          <w:p w14:paraId="7BBD38F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040BF10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5F5BA391">
            <w:pPr>
              <w:widowControl/>
              <w:spacing w:line="240" w:lineRule="auto"/>
              <w:ind w:firstLine="0" w:firstLineChars="0"/>
              <w:jc w:val="left"/>
              <w:rPr>
                <w:rFonts w:ascii="Times New Roman" w:hAnsi="Times New Roman" w:eastAsia="方正楷体_GBK" w:cs="Times New Roman"/>
                <w:color w:val="000000"/>
                <w:kern w:val="0"/>
                <w:sz w:val="22"/>
              </w:rPr>
            </w:pPr>
          </w:p>
        </w:tc>
      </w:tr>
      <w:tr w14:paraId="06CA076B">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4DA13186">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single" w:color="auto" w:sz="4" w:space="0"/>
              <w:left w:val="single" w:color="auto" w:sz="4" w:space="0"/>
              <w:bottom w:val="single" w:color="auto" w:sz="4" w:space="0"/>
              <w:right w:val="single" w:color="auto" w:sz="4" w:space="0"/>
            </w:tcBorders>
            <w:vAlign w:val="center"/>
          </w:tcPr>
          <w:p w14:paraId="19D7E773">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58FC16E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B24基础信息完善性</w:t>
            </w:r>
          </w:p>
        </w:tc>
        <w:tc>
          <w:tcPr>
            <w:tcW w:w="795" w:type="pct"/>
            <w:tcBorders>
              <w:top w:val="nil"/>
              <w:left w:val="nil"/>
              <w:bottom w:val="single" w:color="auto" w:sz="4" w:space="0"/>
              <w:right w:val="single" w:color="auto" w:sz="4" w:space="0"/>
            </w:tcBorders>
            <w:shd w:val="clear" w:color="000000" w:fill="FFFFFF"/>
            <w:vAlign w:val="center"/>
          </w:tcPr>
          <w:p w14:paraId="7CEB5CD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部门基础信息是否完善，用以反映和考核基础信息对预算管理工作的支撑情况。</w:t>
            </w:r>
          </w:p>
        </w:tc>
        <w:tc>
          <w:tcPr>
            <w:tcW w:w="1634" w:type="pct"/>
            <w:tcBorders>
              <w:top w:val="nil"/>
              <w:left w:val="nil"/>
              <w:bottom w:val="single" w:color="auto" w:sz="4" w:space="0"/>
              <w:right w:val="single" w:color="auto" w:sz="4" w:space="0"/>
            </w:tcBorders>
            <w:shd w:val="clear" w:color="000000" w:fill="FFFFFF"/>
            <w:vAlign w:val="center"/>
          </w:tcPr>
          <w:p w14:paraId="7766CD3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1．基础数据信息和会计信息资料是否真实准确；</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2．基础数据信息和会计信息资料是否完整。</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以上评价要点各占1/2权重，每个要点执行情况分好、中、差三档，按100％-80%（含）、80%-60%（含）、60%-0%评分。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4013453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完善</w:t>
            </w:r>
          </w:p>
        </w:tc>
        <w:tc>
          <w:tcPr>
            <w:tcW w:w="264" w:type="pct"/>
            <w:tcBorders>
              <w:top w:val="nil"/>
              <w:left w:val="nil"/>
              <w:bottom w:val="single" w:color="auto" w:sz="4" w:space="0"/>
              <w:right w:val="single" w:color="auto" w:sz="4" w:space="0"/>
            </w:tcBorders>
            <w:shd w:val="clear" w:color="000000" w:fill="FFFFFF"/>
            <w:vAlign w:val="center"/>
          </w:tcPr>
          <w:p w14:paraId="7DDD544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7B42F2A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021287E1">
            <w:pPr>
              <w:widowControl/>
              <w:spacing w:line="240" w:lineRule="auto"/>
              <w:ind w:firstLine="0" w:firstLineChars="0"/>
              <w:jc w:val="left"/>
              <w:rPr>
                <w:rFonts w:ascii="Times New Roman" w:hAnsi="Times New Roman" w:eastAsia="方正楷体_GBK" w:cs="Times New Roman"/>
                <w:color w:val="000000"/>
                <w:kern w:val="0"/>
                <w:sz w:val="22"/>
              </w:rPr>
            </w:pPr>
          </w:p>
        </w:tc>
      </w:tr>
      <w:tr w14:paraId="60D2E641">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76C7D59A">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single" w:color="auto" w:sz="4" w:space="0"/>
              <w:left w:val="single" w:color="auto" w:sz="4" w:space="0"/>
              <w:bottom w:val="single" w:color="auto" w:sz="4" w:space="0"/>
              <w:right w:val="single" w:color="auto" w:sz="4" w:space="0"/>
            </w:tcBorders>
            <w:vAlign w:val="center"/>
          </w:tcPr>
          <w:p w14:paraId="707553A6">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0A9554A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B25绩效管理覆盖率</w:t>
            </w:r>
          </w:p>
        </w:tc>
        <w:tc>
          <w:tcPr>
            <w:tcW w:w="795" w:type="pct"/>
            <w:tcBorders>
              <w:top w:val="nil"/>
              <w:left w:val="nil"/>
              <w:bottom w:val="single" w:color="auto" w:sz="4" w:space="0"/>
              <w:right w:val="single" w:color="auto" w:sz="4" w:space="0"/>
            </w:tcBorders>
            <w:shd w:val="clear" w:color="000000" w:fill="FFFFFF"/>
            <w:vAlign w:val="center"/>
          </w:tcPr>
          <w:p w14:paraId="6F841DF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部门是否将所有支出纳入预算绩效管理，用以反映和考核部门全面实施预算绩效管理工作情况。</w:t>
            </w:r>
          </w:p>
        </w:tc>
        <w:tc>
          <w:tcPr>
            <w:tcW w:w="1634" w:type="pct"/>
            <w:tcBorders>
              <w:top w:val="nil"/>
              <w:left w:val="nil"/>
              <w:bottom w:val="single" w:color="auto" w:sz="4" w:space="0"/>
              <w:right w:val="single" w:color="auto" w:sz="4" w:space="0"/>
            </w:tcBorders>
            <w:shd w:val="clear" w:color="000000" w:fill="FFFFFF"/>
            <w:vAlign w:val="center"/>
          </w:tcPr>
          <w:p w14:paraId="7DA69FB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46464DF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绩效管理覆盖率=（纳入全过程绩效管理的资金数/预算数）*l00%。</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评价规则：</w:t>
            </w:r>
          </w:p>
          <w:p w14:paraId="61B7B84F">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得分=绩效管理覆盖率*分值。</w:t>
            </w:r>
          </w:p>
        </w:tc>
        <w:tc>
          <w:tcPr>
            <w:tcW w:w="277" w:type="pct"/>
            <w:tcBorders>
              <w:top w:val="nil"/>
              <w:left w:val="nil"/>
              <w:bottom w:val="single" w:color="auto" w:sz="4" w:space="0"/>
              <w:right w:val="single" w:color="auto" w:sz="4" w:space="0"/>
            </w:tcBorders>
            <w:shd w:val="clear" w:color="000000" w:fill="FFFFFF"/>
            <w:vAlign w:val="center"/>
          </w:tcPr>
          <w:p w14:paraId="52FCF15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100%</w:t>
            </w:r>
          </w:p>
        </w:tc>
        <w:tc>
          <w:tcPr>
            <w:tcW w:w="264" w:type="pct"/>
            <w:tcBorders>
              <w:top w:val="nil"/>
              <w:left w:val="nil"/>
              <w:bottom w:val="single" w:color="auto" w:sz="4" w:space="0"/>
              <w:right w:val="single" w:color="auto" w:sz="4" w:space="0"/>
            </w:tcBorders>
            <w:shd w:val="clear" w:color="000000" w:fill="FFFFFF"/>
            <w:vAlign w:val="center"/>
          </w:tcPr>
          <w:p w14:paraId="0EC348B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572BE33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78DF3523">
            <w:pPr>
              <w:widowControl/>
              <w:spacing w:line="240" w:lineRule="auto"/>
              <w:ind w:firstLine="0" w:firstLineChars="0"/>
              <w:jc w:val="left"/>
              <w:rPr>
                <w:rFonts w:ascii="Times New Roman" w:hAnsi="Times New Roman" w:eastAsia="方正楷体_GBK" w:cs="Times New Roman"/>
                <w:color w:val="000000"/>
                <w:kern w:val="0"/>
                <w:sz w:val="22"/>
              </w:rPr>
            </w:pPr>
          </w:p>
        </w:tc>
      </w:tr>
      <w:tr w14:paraId="4B62BE08">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4C9E64A9">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nil"/>
              <w:left w:val="single" w:color="auto" w:sz="4" w:space="0"/>
              <w:bottom w:val="single" w:color="000000" w:sz="4" w:space="0"/>
              <w:right w:val="single" w:color="auto" w:sz="4" w:space="0"/>
            </w:tcBorders>
            <w:shd w:val="clear" w:color="000000" w:fill="FFFFFF"/>
            <w:vAlign w:val="center"/>
          </w:tcPr>
          <w:p w14:paraId="61DB55C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B3资产管理</w:t>
            </w:r>
          </w:p>
        </w:tc>
        <w:tc>
          <w:tcPr>
            <w:tcW w:w="490" w:type="pct"/>
            <w:tcBorders>
              <w:top w:val="nil"/>
              <w:left w:val="nil"/>
              <w:bottom w:val="single" w:color="auto" w:sz="4" w:space="0"/>
              <w:right w:val="single" w:color="auto" w:sz="4" w:space="0"/>
            </w:tcBorders>
            <w:shd w:val="clear" w:color="000000" w:fill="FFFFFF"/>
            <w:vAlign w:val="center"/>
          </w:tcPr>
          <w:p w14:paraId="767CD4E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B31资产管理制度健全性</w:t>
            </w:r>
          </w:p>
        </w:tc>
        <w:tc>
          <w:tcPr>
            <w:tcW w:w="795" w:type="pct"/>
            <w:tcBorders>
              <w:top w:val="nil"/>
              <w:left w:val="nil"/>
              <w:bottom w:val="single" w:color="auto" w:sz="4" w:space="0"/>
              <w:right w:val="single" w:color="auto" w:sz="4" w:space="0"/>
            </w:tcBorders>
            <w:shd w:val="clear" w:color="000000" w:fill="FFFFFF"/>
            <w:vAlign w:val="center"/>
          </w:tcPr>
          <w:p w14:paraId="4C79C86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部门为加强资产</w:t>
            </w:r>
            <w:r>
              <w:rPr>
                <w:rFonts w:ascii="Times New Roman" w:hAnsi="Times New Roman" w:eastAsia="方正楷体_GBK" w:cs="Times New Roman"/>
                <w:color w:val="303331"/>
                <w:kern w:val="0"/>
                <w:sz w:val="22"/>
              </w:rPr>
              <w:t>管理，</w:t>
            </w:r>
            <w:r>
              <w:rPr>
                <w:rFonts w:ascii="Times New Roman" w:hAnsi="Times New Roman" w:eastAsia="方正楷体_GBK" w:cs="Times New Roman"/>
                <w:color w:val="000000"/>
                <w:kern w:val="0"/>
                <w:sz w:val="22"/>
              </w:rPr>
              <w:t>规范资产管理行为而制定的管理制度是否健全完整。用以反映和考核部门资产管理制度对完成主要职责或促进社会发展的保障</w:t>
            </w:r>
            <w:r>
              <w:rPr>
                <w:rFonts w:ascii="Times New Roman" w:hAnsi="Times New Roman" w:eastAsia="方正楷体_GBK" w:cs="Times New Roman"/>
                <w:color w:val="303331"/>
                <w:kern w:val="0"/>
                <w:sz w:val="22"/>
              </w:rPr>
              <w:t>情况。</w:t>
            </w:r>
          </w:p>
        </w:tc>
        <w:tc>
          <w:tcPr>
            <w:tcW w:w="1634" w:type="pct"/>
            <w:tcBorders>
              <w:top w:val="nil"/>
              <w:left w:val="nil"/>
              <w:bottom w:val="single" w:color="auto" w:sz="4" w:space="0"/>
              <w:right w:val="single" w:color="auto" w:sz="4" w:space="0"/>
            </w:tcBorders>
            <w:shd w:val="clear" w:color="000000" w:fill="FFFFFF"/>
            <w:vAlign w:val="center"/>
          </w:tcPr>
          <w:p w14:paraId="4117532A">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1．是否已制定或具有资产管理制度；</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2．相关资产管理制度是否合法、合规、完整；</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3．相关资产管理制度是否得到有效执行。</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以上评价要点各占1/3权重，每个要点执行情况分好、中、差三档，按100%-80%（含）、80%-60%（含）、60%-0%评分。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7740615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健全</w:t>
            </w:r>
          </w:p>
        </w:tc>
        <w:tc>
          <w:tcPr>
            <w:tcW w:w="264" w:type="pct"/>
            <w:tcBorders>
              <w:top w:val="nil"/>
              <w:left w:val="nil"/>
              <w:bottom w:val="single" w:color="auto" w:sz="4" w:space="0"/>
              <w:right w:val="single" w:color="auto" w:sz="4" w:space="0"/>
            </w:tcBorders>
            <w:shd w:val="clear" w:color="000000" w:fill="FFFFFF"/>
            <w:vAlign w:val="center"/>
          </w:tcPr>
          <w:p w14:paraId="6E00EFE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38404F7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38D0A971">
            <w:pPr>
              <w:widowControl/>
              <w:spacing w:line="240" w:lineRule="auto"/>
              <w:ind w:firstLine="0" w:firstLineChars="0"/>
              <w:jc w:val="left"/>
              <w:rPr>
                <w:rFonts w:ascii="Times New Roman" w:hAnsi="Times New Roman" w:eastAsia="方正楷体_GBK" w:cs="Times New Roman"/>
                <w:color w:val="000000"/>
                <w:kern w:val="0"/>
                <w:sz w:val="22"/>
              </w:rPr>
            </w:pPr>
          </w:p>
        </w:tc>
      </w:tr>
      <w:tr w14:paraId="53363191">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554F5128">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000000" w:sz="4" w:space="0"/>
              <w:right w:val="single" w:color="auto" w:sz="4" w:space="0"/>
            </w:tcBorders>
            <w:vAlign w:val="center"/>
          </w:tcPr>
          <w:p w14:paraId="7160F46D">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21769C0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B32资产管理规范性</w:t>
            </w:r>
          </w:p>
        </w:tc>
        <w:tc>
          <w:tcPr>
            <w:tcW w:w="795" w:type="pct"/>
            <w:tcBorders>
              <w:top w:val="nil"/>
              <w:left w:val="nil"/>
              <w:bottom w:val="single" w:color="auto" w:sz="4" w:space="0"/>
              <w:right w:val="single" w:color="auto" w:sz="4" w:space="0"/>
            </w:tcBorders>
            <w:shd w:val="clear" w:color="000000" w:fill="FFFFFF"/>
            <w:vAlign w:val="center"/>
          </w:tcPr>
          <w:p w14:paraId="7B41349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部门的资产是否保存完整、使用合规、配置合理、处理规范、收入及时足额上缴，用以反映和考核部门资产安全运行情况。</w:t>
            </w:r>
          </w:p>
        </w:tc>
        <w:tc>
          <w:tcPr>
            <w:tcW w:w="1634" w:type="pct"/>
            <w:tcBorders>
              <w:top w:val="nil"/>
              <w:left w:val="nil"/>
              <w:bottom w:val="single" w:color="auto" w:sz="4" w:space="0"/>
              <w:right w:val="single" w:color="auto" w:sz="4" w:space="0"/>
            </w:tcBorders>
            <w:shd w:val="clear" w:color="000000" w:fill="FFFFFF"/>
            <w:vAlign w:val="center"/>
          </w:tcPr>
          <w:p w14:paraId="638BAB4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1．资产保存是否完整，是否按规定流程报请使用；</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2．资产配置是否合理：</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3．资产处置是否规范；</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4．资产是否经清查和统计，账务管理是否合规，是否账实相符；</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5．资产是否有偿使用及处置收入及时足额上缴。</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以上评价要点各占1/5权重，每个要点执行情况分好、中、差三档，按100%-80%（含）、80%-60%（含）、60%-0%评分。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27C97C6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规范</w:t>
            </w:r>
          </w:p>
        </w:tc>
        <w:tc>
          <w:tcPr>
            <w:tcW w:w="264" w:type="pct"/>
            <w:tcBorders>
              <w:top w:val="nil"/>
              <w:left w:val="nil"/>
              <w:bottom w:val="single" w:color="auto" w:sz="4" w:space="0"/>
              <w:right w:val="single" w:color="auto" w:sz="4" w:space="0"/>
            </w:tcBorders>
            <w:shd w:val="clear" w:color="000000" w:fill="FFFFFF"/>
            <w:vAlign w:val="center"/>
          </w:tcPr>
          <w:p w14:paraId="6ADBBFB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0052D98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7F745881">
            <w:pPr>
              <w:widowControl/>
              <w:spacing w:line="240" w:lineRule="auto"/>
              <w:ind w:firstLine="0" w:firstLineChars="0"/>
              <w:jc w:val="left"/>
              <w:rPr>
                <w:rFonts w:ascii="Times New Roman" w:hAnsi="Times New Roman" w:eastAsia="方正楷体_GBK" w:cs="Times New Roman"/>
                <w:color w:val="000000"/>
                <w:kern w:val="0"/>
                <w:sz w:val="22"/>
              </w:rPr>
            </w:pPr>
          </w:p>
        </w:tc>
      </w:tr>
      <w:tr w14:paraId="489FC61D">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2E49C89E">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000000" w:sz="4" w:space="0"/>
              <w:right w:val="single" w:color="auto" w:sz="4" w:space="0"/>
            </w:tcBorders>
            <w:vAlign w:val="center"/>
          </w:tcPr>
          <w:p w14:paraId="1E0D049C">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6F7F84C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B33固定资产利用率</w:t>
            </w:r>
          </w:p>
        </w:tc>
        <w:tc>
          <w:tcPr>
            <w:tcW w:w="795" w:type="pct"/>
            <w:tcBorders>
              <w:top w:val="nil"/>
              <w:left w:val="nil"/>
              <w:bottom w:val="single" w:color="auto" w:sz="4" w:space="0"/>
              <w:right w:val="single" w:color="auto" w:sz="4" w:space="0"/>
            </w:tcBorders>
            <w:shd w:val="clear" w:color="000000" w:fill="FFFFFF"/>
            <w:vAlign w:val="center"/>
          </w:tcPr>
          <w:p w14:paraId="730040A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部门实际在用固定资产总额与所有固定资产总额的比率，用以反映和考核部门固定资产使用效率程度。</w:t>
            </w:r>
          </w:p>
        </w:tc>
        <w:tc>
          <w:tcPr>
            <w:tcW w:w="1634" w:type="pct"/>
            <w:tcBorders>
              <w:top w:val="nil"/>
              <w:left w:val="nil"/>
              <w:bottom w:val="single" w:color="auto" w:sz="4" w:space="0"/>
              <w:right w:val="single" w:color="auto" w:sz="4" w:space="0"/>
            </w:tcBorders>
            <w:shd w:val="clear" w:color="000000" w:fill="FFFFFF"/>
            <w:vAlign w:val="center"/>
          </w:tcPr>
          <w:p w14:paraId="3ACFBD1A">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2AF6766D">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固定资产利用率=（实际在用固定资产总额/所有固定资产总额）*100%．</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得分=固定资产利用率*分值。</w:t>
            </w:r>
          </w:p>
        </w:tc>
        <w:tc>
          <w:tcPr>
            <w:tcW w:w="277" w:type="pct"/>
            <w:tcBorders>
              <w:top w:val="nil"/>
              <w:left w:val="nil"/>
              <w:bottom w:val="single" w:color="auto" w:sz="4" w:space="0"/>
              <w:right w:val="single" w:color="auto" w:sz="4" w:space="0"/>
            </w:tcBorders>
            <w:shd w:val="clear" w:color="000000" w:fill="FFFFFF"/>
            <w:vAlign w:val="center"/>
          </w:tcPr>
          <w:p w14:paraId="2379E68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100%</w:t>
            </w:r>
          </w:p>
        </w:tc>
        <w:tc>
          <w:tcPr>
            <w:tcW w:w="264" w:type="pct"/>
            <w:tcBorders>
              <w:top w:val="nil"/>
              <w:left w:val="nil"/>
              <w:bottom w:val="single" w:color="auto" w:sz="4" w:space="0"/>
              <w:right w:val="single" w:color="auto" w:sz="4" w:space="0"/>
            </w:tcBorders>
            <w:shd w:val="clear" w:color="000000" w:fill="FFFFFF"/>
            <w:vAlign w:val="center"/>
          </w:tcPr>
          <w:p w14:paraId="6E12878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1B98A25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20421D60">
            <w:pPr>
              <w:widowControl/>
              <w:spacing w:line="240" w:lineRule="auto"/>
              <w:ind w:firstLine="0" w:firstLineChars="0"/>
              <w:jc w:val="left"/>
              <w:rPr>
                <w:rFonts w:ascii="Times New Roman" w:hAnsi="Times New Roman" w:eastAsia="方正楷体_GBK" w:cs="Times New Roman"/>
                <w:color w:val="000000"/>
                <w:kern w:val="0"/>
                <w:sz w:val="22"/>
              </w:rPr>
            </w:pPr>
          </w:p>
        </w:tc>
      </w:tr>
      <w:tr w14:paraId="55003F6B">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1350A00F">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nil"/>
              <w:left w:val="single" w:color="auto" w:sz="4" w:space="0"/>
              <w:bottom w:val="single" w:color="auto" w:sz="4" w:space="0"/>
              <w:right w:val="single" w:color="auto" w:sz="4" w:space="0"/>
            </w:tcBorders>
            <w:shd w:val="clear" w:color="000000" w:fill="FFFFFF"/>
            <w:vAlign w:val="center"/>
          </w:tcPr>
          <w:p w14:paraId="3DF2C57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B4项目管理</w:t>
            </w:r>
          </w:p>
        </w:tc>
        <w:tc>
          <w:tcPr>
            <w:tcW w:w="490" w:type="pct"/>
            <w:tcBorders>
              <w:top w:val="nil"/>
              <w:left w:val="nil"/>
              <w:bottom w:val="single" w:color="auto" w:sz="4" w:space="0"/>
              <w:right w:val="single" w:color="auto" w:sz="4" w:space="0"/>
            </w:tcBorders>
            <w:shd w:val="clear" w:color="000000" w:fill="FFFFFF"/>
            <w:vAlign w:val="center"/>
          </w:tcPr>
          <w:p w14:paraId="44E898B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B41项目管理制度健全性</w:t>
            </w:r>
          </w:p>
        </w:tc>
        <w:tc>
          <w:tcPr>
            <w:tcW w:w="795" w:type="pct"/>
            <w:tcBorders>
              <w:top w:val="nil"/>
              <w:left w:val="nil"/>
              <w:bottom w:val="single" w:color="auto" w:sz="4" w:space="0"/>
              <w:right w:val="single" w:color="auto" w:sz="4" w:space="0"/>
            </w:tcBorders>
            <w:shd w:val="clear" w:color="000000" w:fill="FFFFFF"/>
            <w:vAlign w:val="center"/>
          </w:tcPr>
          <w:p w14:paraId="18F88B0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部门项目管理制度是否健全，用以反映和考核项目管理制度对项目顺利实施的保障情况。</w:t>
            </w:r>
          </w:p>
        </w:tc>
        <w:tc>
          <w:tcPr>
            <w:tcW w:w="1634" w:type="pct"/>
            <w:tcBorders>
              <w:top w:val="nil"/>
              <w:left w:val="nil"/>
              <w:bottom w:val="single" w:color="auto" w:sz="4" w:space="0"/>
              <w:right w:val="single" w:color="auto" w:sz="4" w:space="0"/>
            </w:tcBorders>
            <w:shd w:val="clear" w:color="000000" w:fill="FFFFFF"/>
            <w:vAlign w:val="center"/>
          </w:tcPr>
          <w:p w14:paraId="1EC0A3B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1．各项目是否制定项目管理制度；</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2．各项目管理制度是否合法、合规、内容完整、包括职责分工，项目申报、公示、实施内容、实施进度、实施标准、资金补助标准、资金拨付时间、监督检查、绩效评价、协调机制等。</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以上评价要点各占1/2权重，每个要点执行情况分好、中、差三档，按100%-80%（含）、80%-60%（含）、60%-0%评分。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1BB8DA3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健全</w:t>
            </w:r>
          </w:p>
        </w:tc>
        <w:tc>
          <w:tcPr>
            <w:tcW w:w="264" w:type="pct"/>
            <w:tcBorders>
              <w:top w:val="nil"/>
              <w:left w:val="nil"/>
              <w:bottom w:val="single" w:color="auto" w:sz="4" w:space="0"/>
              <w:right w:val="single" w:color="auto" w:sz="4" w:space="0"/>
            </w:tcBorders>
            <w:shd w:val="clear" w:color="000000" w:fill="FFFFFF"/>
            <w:vAlign w:val="center"/>
          </w:tcPr>
          <w:p w14:paraId="0F95B68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0DFE598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0984BF01">
            <w:pPr>
              <w:widowControl/>
              <w:spacing w:line="240" w:lineRule="auto"/>
              <w:ind w:firstLine="0" w:firstLineChars="0"/>
              <w:jc w:val="left"/>
              <w:rPr>
                <w:rFonts w:ascii="Times New Roman" w:hAnsi="Times New Roman" w:eastAsia="方正楷体_GBK" w:cs="Times New Roman"/>
                <w:color w:val="000000"/>
                <w:kern w:val="0"/>
                <w:sz w:val="22"/>
              </w:rPr>
            </w:pPr>
          </w:p>
        </w:tc>
      </w:tr>
      <w:tr w14:paraId="54AFEC24">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2AA126DF">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auto" w:sz="4" w:space="0"/>
              <w:right w:val="single" w:color="auto" w:sz="4" w:space="0"/>
            </w:tcBorders>
            <w:vAlign w:val="center"/>
          </w:tcPr>
          <w:p w14:paraId="1D5E1A2D">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36EA6BC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B42项目管理制度执行规范性</w:t>
            </w:r>
          </w:p>
        </w:tc>
        <w:tc>
          <w:tcPr>
            <w:tcW w:w="795" w:type="pct"/>
            <w:tcBorders>
              <w:top w:val="nil"/>
              <w:left w:val="nil"/>
              <w:bottom w:val="single" w:color="auto" w:sz="4" w:space="0"/>
              <w:right w:val="single" w:color="auto" w:sz="4" w:space="0"/>
            </w:tcBorders>
            <w:shd w:val="clear" w:color="000000" w:fill="FFFFFF"/>
            <w:vAlign w:val="center"/>
          </w:tcPr>
          <w:p w14:paraId="039566E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项目实施是否符合相关管理规定，用以反映和考核相关管理制度的有效执行情况。</w:t>
            </w:r>
          </w:p>
        </w:tc>
        <w:tc>
          <w:tcPr>
            <w:tcW w:w="1634" w:type="pct"/>
            <w:tcBorders>
              <w:top w:val="nil"/>
              <w:left w:val="nil"/>
              <w:bottom w:val="single" w:color="auto" w:sz="4" w:space="0"/>
              <w:right w:val="single" w:color="auto" w:sz="4" w:space="0"/>
            </w:tcBorders>
            <w:shd w:val="clear" w:color="000000" w:fill="FFFFFF"/>
            <w:vAlign w:val="center"/>
          </w:tcPr>
          <w:p w14:paraId="48F2B59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1．项目管理工作机制是否健全，沟通协调是否顺畅；</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2．项目是否按照要求规范严格地执行所有的制度内容，包括可行性论证、概算、预算、施工设计、资金拨付、组织申报、政府采购、招投标、监理、中期检查、竣工验收、公开公示等；</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3．是否按要求开展监督检查和绩效评价。</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以上评价要点各占1/3权重，每个要点执行情况分好、中、差三档，按100%-80%（含）、80%-60%（含）、60%-0%评分。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3AA146A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规范</w:t>
            </w:r>
          </w:p>
        </w:tc>
        <w:tc>
          <w:tcPr>
            <w:tcW w:w="264" w:type="pct"/>
            <w:tcBorders>
              <w:top w:val="nil"/>
              <w:left w:val="nil"/>
              <w:bottom w:val="single" w:color="auto" w:sz="4" w:space="0"/>
              <w:right w:val="single" w:color="auto" w:sz="4" w:space="0"/>
            </w:tcBorders>
            <w:shd w:val="clear" w:color="000000" w:fill="FFFFFF"/>
            <w:vAlign w:val="center"/>
          </w:tcPr>
          <w:p w14:paraId="134E949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478A235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5431B993">
            <w:pPr>
              <w:widowControl/>
              <w:spacing w:line="240" w:lineRule="auto"/>
              <w:ind w:firstLine="0" w:firstLineChars="0"/>
              <w:jc w:val="left"/>
              <w:rPr>
                <w:rFonts w:ascii="Times New Roman" w:hAnsi="Times New Roman" w:eastAsia="方正楷体_GBK" w:cs="Times New Roman"/>
                <w:color w:val="000000"/>
                <w:kern w:val="0"/>
                <w:sz w:val="22"/>
              </w:rPr>
            </w:pPr>
          </w:p>
        </w:tc>
      </w:tr>
      <w:tr w14:paraId="6B5E8179">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3EB540DB">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nil"/>
              <w:left w:val="single" w:color="auto" w:sz="4" w:space="0"/>
              <w:bottom w:val="single" w:color="auto" w:sz="4" w:space="0"/>
              <w:right w:val="single" w:color="auto" w:sz="4" w:space="0"/>
            </w:tcBorders>
            <w:shd w:val="clear" w:color="000000" w:fill="FFFFFF"/>
            <w:vAlign w:val="center"/>
          </w:tcPr>
          <w:p w14:paraId="66F1307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B5人员管理</w:t>
            </w:r>
          </w:p>
        </w:tc>
        <w:tc>
          <w:tcPr>
            <w:tcW w:w="490" w:type="pct"/>
            <w:tcBorders>
              <w:top w:val="nil"/>
              <w:left w:val="nil"/>
              <w:bottom w:val="single" w:color="auto" w:sz="4" w:space="0"/>
              <w:right w:val="single" w:color="auto" w:sz="4" w:space="0"/>
            </w:tcBorders>
            <w:shd w:val="clear" w:color="000000" w:fill="FFFFFF"/>
            <w:vAlign w:val="center"/>
          </w:tcPr>
          <w:p w14:paraId="344D448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B51人事管理制度健全性</w:t>
            </w:r>
          </w:p>
        </w:tc>
        <w:tc>
          <w:tcPr>
            <w:tcW w:w="795" w:type="pct"/>
            <w:tcBorders>
              <w:top w:val="nil"/>
              <w:left w:val="nil"/>
              <w:bottom w:val="single" w:color="auto" w:sz="4" w:space="0"/>
              <w:right w:val="single" w:color="auto" w:sz="4" w:space="0"/>
            </w:tcBorders>
            <w:shd w:val="clear" w:color="000000" w:fill="FFFFFF"/>
            <w:vAlign w:val="center"/>
          </w:tcPr>
          <w:p w14:paraId="67C85D3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部门人事管理制度是否健全，用以反映和考核人事管理制度对部门正常运行、履行职责的保障情况。</w:t>
            </w:r>
          </w:p>
        </w:tc>
        <w:tc>
          <w:tcPr>
            <w:tcW w:w="1634" w:type="pct"/>
            <w:tcBorders>
              <w:top w:val="nil"/>
              <w:left w:val="nil"/>
              <w:bottom w:val="single" w:color="auto" w:sz="4" w:space="0"/>
              <w:right w:val="single" w:color="auto" w:sz="4" w:space="0"/>
            </w:tcBorders>
            <w:shd w:val="clear" w:color="000000" w:fill="FFFFFF"/>
            <w:vAlign w:val="center"/>
          </w:tcPr>
          <w:p w14:paraId="66CBB8E2">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1．部门对内部各处室、全体干部职工建立完整的考核办法；</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2．建立全过程考核管理，日常工作考核与年度目标考核紧密关联；</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3．工作考核管理办法与问责办法相匹配。</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以上评价要点各占1/3权重，每个要点执行情况分好、中、差三档，按I00%-80%（含）、80%-60%（含）、60%-0%评分。</w:t>
            </w:r>
          </w:p>
        </w:tc>
        <w:tc>
          <w:tcPr>
            <w:tcW w:w="277" w:type="pct"/>
            <w:tcBorders>
              <w:top w:val="nil"/>
              <w:left w:val="nil"/>
              <w:bottom w:val="single" w:color="auto" w:sz="4" w:space="0"/>
              <w:right w:val="single" w:color="auto" w:sz="4" w:space="0"/>
            </w:tcBorders>
            <w:shd w:val="clear" w:color="000000" w:fill="FFFFFF"/>
            <w:vAlign w:val="center"/>
          </w:tcPr>
          <w:p w14:paraId="3B79C09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健全</w:t>
            </w:r>
          </w:p>
        </w:tc>
        <w:tc>
          <w:tcPr>
            <w:tcW w:w="264" w:type="pct"/>
            <w:tcBorders>
              <w:top w:val="nil"/>
              <w:left w:val="nil"/>
              <w:bottom w:val="single" w:color="auto" w:sz="4" w:space="0"/>
              <w:right w:val="single" w:color="auto" w:sz="4" w:space="0"/>
            </w:tcBorders>
            <w:shd w:val="clear" w:color="000000" w:fill="FFFFFF"/>
            <w:vAlign w:val="center"/>
          </w:tcPr>
          <w:p w14:paraId="5A8BA21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5F73BE3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477C3F22">
            <w:pPr>
              <w:widowControl/>
              <w:spacing w:line="240" w:lineRule="auto"/>
              <w:ind w:firstLine="0" w:firstLineChars="0"/>
              <w:jc w:val="left"/>
              <w:rPr>
                <w:rFonts w:ascii="Times New Roman" w:hAnsi="Times New Roman" w:eastAsia="方正楷体_GBK" w:cs="Times New Roman"/>
                <w:color w:val="000000"/>
                <w:kern w:val="0"/>
                <w:sz w:val="22"/>
              </w:rPr>
            </w:pPr>
          </w:p>
        </w:tc>
      </w:tr>
      <w:tr w14:paraId="5E244B8B">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65884936">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auto" w:sz="4" w:space="0"/>
              <w:right w:val="single" w:color="auto" w:sz="4" w:space="0"/>
            </w:tcBorders>
            <w:vAlign w:val="center"/>
          </w:tcPr>
          <w:p w14:paraId="5A006F0B">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7AC221C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B52人事管理制度执行有效性</w:t>
            </w:r>
          </w:p>
        </w:tc>
        <w:tc>
          <w:tcPr>
            <w:tcW w:w="795" w:type="pct"/>
            <w:tcBorders>
              <w:top w:val="nil"/>
              <w:left w:val="nil"/>
              <w:bottom w:val="single" w:color="auto" w:sz="4" w:space="0"/>
              <w:right w:val="single" w:color="auto" w:sz="4" w:space="0"/>
            </w:tcBorders>
            <w:shd w:val="clear" w:color="000000" w:fill="FFFFFF"/>
            <w:vAlign w:val="center"/>
          </w:tcPr>
          <w:p w14:paraId="55413F6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人事管理是否符合相关管理规定，用以反映和考核人事管理制度的有效执行情况。</w:t>
            </w:r>
          </w:p>
        </w:tc>
        <w:tc>
          <w:tcPr>
            <w:tcW w:w="1634" w:type="pct"/>
            <w:tcBorders>
              <w:top w:val="nil"/>
              <w:left w:val="nil"/>
              <w:bottom w:val="single" w:color="auto" w:sz="4" w:space="0"/>
              <w:right w:val="single" w:color="auto" w:sz="4" w:space="0"/>
            </w:tcBorders>
            <w:shd w:val="clear" w:color="000000" w:fill="FFFFFF"/>
            <w:vAlign w:val="center"/>
          </w:tcPr>
          <w:p w14:paraId="517A34D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1．科室每季度组织个人工作业绩考核，考核资料完整；</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2．年终组织个人、科室考核实施程序规范、资料完整；</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3．考核结果切实运用。</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以上评价要点各占1/3权重。每个要点执行情况分好、中、差三档，按100%-80%（含），80%-60%（含），60%-0%评分。</w:t>
            </w:r>
          </w:p>
        </w:tc>
        <w:tc>
          <w:tcPr>
            <w:tcW w:w="277" w:type="pct"/>
            <w:tcBorders>
              <w:top w:val="nil"/>
              <w:left w:val="nil"/>
              <w:bottom w:val="single" w:color="auto" w:sz="4" w:space="0"/>
              <w:right w:val="single" w:color="auto" w:sz="4" w:space="0"/>
            </w:tcBorders>
            <w:shd w:val="clear" w:color="000000" w:fill="FFFFFF"/>
            <w:vAlign w:val="center"/>
          </w:tcPr>
          <w:p w14:paraId="45F50A7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有效</w:t>
            </w:r>
          </w:p>
        </w:tc>
        <w:tc>
          <w:tcPr>
            <w:tcW w:w="264" w:type="pct"/>
            <w:tcBorders>
              <w:top w:val="nil"/>
              <w:left w:val="nil"/>
              <w:bottom w:val="single" w:color="auto" w:sz="4" w:space="0"/>
              <w:right w:val="single" w:color="auto" w:sz="4" w:space="0"/>
            </w:tcBorders>
            <w:shd w:val="clear" w:color="000000" w:fill="FFFFFF"/>
            <w:vAlign w:val="center"/>
          </w:tcPr>
          <w:p w14:paraId="25A5786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5F4BDB1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60E31444">
            <w:pPr>
              <w:widowControl/>
              <w:spacing w:line="240" w:lineRule="auto"/>
              <w:ind w:firstLine="0" w:firstLineChars="0"/>
              <w:jc w:val="left"/>
              <w:rPr>
                <w:rFonts w:ascii="Times New Roman" w:hAnsi="Times New Roman" w:eastAsia="方正楷体_GBK" w:cs="Times New Roman"/>
                <w:color w:val="000000"/>
                <w:kern w:val="0"/>
                <w:sz w:val="22"/>
              </w:rPr>
            </w:pPr>
          </w:p>
        </w:tc>
      </w:tr>
      <w:tr w14:paraId="0C86BCCF">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46F7D510">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auto" w:sz="4" w:space="0"/>
              <w:right w:val="single" w:color="auto" w:sz="4" w:space="0"/>
            </w:tcBorders>
            <w:vAlign w:val="center"/>
          </w:tcPr>
          <w:p w14:paraId="006BDD6F">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21156A6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B53在职人员行政编制控制率</w:t>
            </w:r>
          </w:p>
        </w:tc>
        <w:tc>
          <w:tcPr>
            <w:tcW w:w="795" w:type="pct"/>
            <w:tcBorders>
              <w:top w:val="nil"/>
              <w:left w:val="nil"/>
              <w:bottom w:val="single" w:color="auto" w:sz="4" w:space="0"/>
              <w:right w:val="single" w:color="auto" w:sz="4" w:space="0"/>
            </w:tcBorders>
            <w:shd w:val="clear" w:color="000000" w:fill="FFFFFF"/>
            <w:vAlign w:val="center"/>
          </w:tcPr>
          <w:p w14:paraId="7D1BC76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部门本年度实际在职人员数与编制数的比率，用以反映和考核部门对人员成本的控制程度。</w:t>
            </w:r>
          </w:p>
        </w:tc>
        <w:tc>
          <w:tcPr>
            <w:tcW w:w="1634" w:type="pct"/>
            <w:tcBorders>
              <w:top w:val="nil"/>
              <w:left w:val="nil"/>
              <w:bottom w:val="single" w:color="auto" w:sz="4" w:space="0"/>
              <w:right w:val="single" w:color="auto" w:sz="4" w:space="0"/>
            </w:tcBorders>
            <w:shd w:val="clear" w:color="000000" w:fill="FFFFFF"/>
            <w:vAlign w:val="center"/>
          </w:tcPr>
          <w:p w14:paraId="7B9ADA4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68540BC8">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在职人员控制率=（在职人员数/编制数）*100%。在职人员数：部门实际在职人数。以财政部门确定的部门概算编制口径为准。</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编制数：机构编制部门核定批复的部门的人员编制数。</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得分=在职人员控制率*分值。</w:t>
            </w:r>
          </w:p>
        </w:tc>
        <w:tc>
          <w:tcPr>
            <w:tcW w:w="277" w:type="pct"/>
            <w:tcBorders>
              <w:top w:val="nil"/>
              <w:left w:val="nil"/>
              <w:bottom w:val="single" w:color="auto" w:sz="4" w:space="0"/>
              <w:right w:val="single" w:color="auto" w:sz="4" w:space="0"/>
            </w:tcBorders>
            <w:shd w:val="clear" w:color="000000" w:fill="FFFFFF"/>
            <w:vAlign w:val="center"/>
          </w:tcPr>
          <w:p w14:paraId="72D0F24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100%</w:t>
            </w:r>
          </w:p>
        </w:tc>
        <w:tc>
          <w:tcPr>
            <w:tcW w:w="264" w:type="pct"/>
            <w:tcBorders>
              <w:top w:val="nil"/>
              <w:left w:val="nil"/>
              <w:bottom w:val="single" w:color="auto" w:sz="4" w:space="0"/>
              <w:right w:val="single" w:color="auto" w:sz="4" w:space="0"/>
            </w:tcBorders>
            <w:shd w:val="clear" w:color="000000" w:fill="FFFFFF"/>
            <w:vAlign w:val="center"/>
          </w:tcPr>
          <w:p w14:paraId="3DAC554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498F8A0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0.93</w:t>
            </w:r>
          </w:p>
        </w:tc>
        <w:tc>
          <w:tcPr>
            <w:tcW w:w="691" w:type="pct"/>
            <w:tcBorders>
              <w:top w:val="nil"/>
              <w:left w:val="nil"/>
              <w:bottom w:val="single" w:color="auto" w:sz="4" w:space="0"/>
              <w:right w:val="single" w:color="auto" w:sz="4" w:space="0"/>
            </w:tcBorders>
            <w:shd w:val="clear" w:color="000000" w:fill="FFFFFF"/>
            <w:vAlign w:val="center"/>
          </w:tcPr>
          <w:p w14:paraId="77B05C16">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南京市发改委（本级）人员核定行政编制218人，2024年底实际在职机关行政人员202人。在职人员行政编制控制率92.66%。按照评分标准，扣0.07分。</w:t>
            </w:r>
          </w:p>
        </w:tc>
      </w:tr>
      <w:tr w14:paraId="2CF7CC76">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528D2858">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nil"/>
              <w:left w:val="single" w:color="auto" w:sz="4" w:space="0"/>
              <w:bottom w:val="single" w:color="auto" w:sz="4" w:space="0"/>
              <w:right w:val="single" w:color="auto" w:sz="4" w:space="0"/>
            </w:tcBorders>
            <w:shd w:val="clear" w:color="000000" w:fill="FFFFFF"/>
            <w:vAlign w:val="center"/>
          </w:tcPr>
          <w:p w14:paraId="0F76110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B6机构建设与内控管理</w:t>
            </w:r>
          </w:p>
        </w:tc>
        <w:tc>
          <w:tcPr>
            <w:tcW w:w="490" w:type="pct"/>
            <w:tcBorders>
              <w:top w:val="nil"/>
              <w:left w:val="nil"/>
              <w:bottom w:val="single" w:color="auto" w:sz="4" w:space="0"/>
              <w:right w:val="single" w:color="auto" w:sz="4" w:space="0"/>
            </w:tcBorders>
            <w:shd w:val="clear" w:color="000000" w:fill="FFFFFF"/>
            <w:vAlign w:val="center"/>
          </w:tcPr>
          <w:p w14:paraId="301FCD2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B61组织建设工作及时完成率</w:t>
            </w:r>
          </w:p>
        </w:tc>
        <w:tc>
          <w:tcPr>
            <w:tcW w:w="795" w:type="pct"/>
            <w:tcBorders>
              <w:top w:val="nil"/>
              <w:left w:val="nil"/>
              <w:bottom w:val="single" w:color="auto" w:sz="4" w:space="0"/>
              <w:right w:val="single" w:color="auto" w:sz="4" w:space="0"/>
            </w:tcBorders>
            <w:shd w:val="clear" w:color="000000" w:fill="FFFFFF"/>
            <w:vAlign w:val="center"/>
          </w:tcPr>
          <w:p w14:paraId="5279838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部门为履行职责而实际及时完成的组织建设工作数与计划工作数的比率，用以反映和考核部门组织建设工作完成情况。</w:t>
            </w:r>
          </w:p>
        </w:tc>
        <w:tc>
          <w:tcPr>
            <w:tcW w:w="1634" w:type="pct"/>
            <w:tcBorders>
              <w:top w:val="nil"/>
              <w:left w:val="nil"/>
              <w:bottom w:val="single" w:color="auto" w:sz="4" w:space="0"/>
              <w:right w:val="single" w:color="auto" w:sz="4" w:space="0"/>
            </w:tcBorders>
            <w:shd w:val="clear" w:color="000000" w:fill="FFFFFF"/>
            <w:vAlign w:val="center"/>
          </w:tcPr>
          <w:p w14:paraId="26267AA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22D3B5D2">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组织建设工作及时完成率=（实际及时完成的组织建设工作/计划工作数）*100%。</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得分=组织建设工作及时完成率X分值。</w:t>
            </w:r>
          </w:p>
        </w:tc>
        <w:tc>
          <w:tcPr>
            <w:tcW w:w="277" w:type="pct"/>
            <w:tcBorders>
              <w:top w:val="nil"/>
              <w:left w:val="nil"/>
              <w:bottom w:val="single" w:color="auto" w:sz="4" w:space="0"/>
              <w:right w:val="single" w:color="auto" w:sz="4" w:space="0"/>
            </w:tcBorders>
            <w:shd w:val="clear" w:color="000000" w:fill="FFFFFF"/>
            <w:vAlign w:val="center"/>
          </w:tcPr>
          <w:p w14:paraId="1FABACB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100%</w:t>
            </w:r>
          </w:p>
        </w:tc>
        <w:tc>
          <w:tcPr>
            <w:tcW w:w="264" w:type="pct"/>
            <w:tcBorders>
              <w:top w:val="nil"/>
              <w:left w:val="nil"/>
              <w:bottom w:val="single" w:color="auto" w:sz="4" w:space="0"/>
              <w:right w:val="single" w:color="auto" w:sz="4" w:space="0"/>
            </w:tcBorders>
            <w:shd w:val="clear" w:color="000000" w:fill="FFFFFF"/>
            <w:vAlign w:val="center"/>
          </w:tcPr>
          <w:p w14:paraId="74C7B38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22372CB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2EDFD064">
            <w:pPr>
              <w:widowControl/>
              <w:spacing w:line="240" w:lineRule="auto"/>
              <w:ind w:firstLine="0" w:firstLineChars="0"/>
              <w:jc w:val="left"/>
              <w:rPr>
                <w:rFonts w:ascii="Times New Roman" w:hAnsi="Times New Roman" w:eastAsia="方正楷体_GBK" w:cs="Times New Roman"/>
                <w:color w:val="000000"/>
                <w:kern w:val="0"/>
                <w:sz w:val="22"/>
              </w:rPr>
            </w:pPr>
          </w:p>
        </w:tc>
      </w:tr>
      <w:tr w14:paraId="08D31AE2">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nil"/>
              <w:right w:val="single" w:color="auto" w:sz="4" w:space="0"/>
            </w:tcBorders>
            <w:vAlign w:val="center"/>
          </w:tcPr>
          <w:p w14:paraId="266EB459">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auto" w:sz="4" w:space="0"/>
              <w:right w:val="single" w:color="auto" w:sz="4" w:space="0"/>
            </w:tcBorders>
            <w:vAlign w:val="center"/>
          </w:tcPr>
          <w:p w14:paraId="2CD874F3">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10BAE87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B63纪检监察工作有效性</w:t>
            </w:r>
          </w:p>
        </w:tc>
        <w:tc>
          <w:tcPr>
            <w:tcW w:w="795" w:type="pct"/>
            <w:tcBorders>
              <w:top w:val="nil"/>
              <w:left w:val="nil"/>
              <w:bottom w:val="single" w:color="auto" w:sz="4" w:space="0"/>
              <w:right w:val="single" w:color="auto" w:sz="4" w:space="0"/>
            </w:tcBorders>
            <w:shd w:val="clear" w:color="000000" w:fill="FFFFFF"/>
            <w:vAlign w:val="center"/>
          </w:tcPr>
          <w:p w14:paraId="00CCCA5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部门为履行职责而开展的纪检监察工作有效性情况，用以反映和考核部门纪检监察工作对部门正常运行的保障作用。</w:t>
            </w:r>
          </w:p>
        </w:tc>
        <w:tc>
          <w:tcPr>
            <w:tcW w:w="1634" w:type="pct"/>
            <w:tcBorders>
              <w:top w:val="nil"/>
              <w:left w:val="nil"/>
              <w:bottom w:val="single" w:color="auto" w:sz="4" w:space="0"/>
              <w:right w:val="single" w:color="auto" w:sz="4" w:space="0"/>
            </w:tcBorders>
            <w:shd w:val="clear" w:color="000000" w:fill="FFFFFF"/>
            <w:vAlign w:val="center"/>
          </w:tcPr>
          <w:p w14:paraId="3F1C6A5F">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6C357E3C">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是否存在违纪违法行为。</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p>
          <w:p w14:paraId="5040C53C">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每发生1次违纪行为，扣权重分；发生违法行为，直接得0分。</w:t>
            </w:r>
          </w:p>
        </w:tc>
        <w:tc>
          <w:tcPr>
            <w:tcW w:w="277" w:type="pct"/>
            <w:tcBorders>
              <w:top w:val="nil"/>
              <w:left w:val="nil"/>
              <w:bottom w:val="single" w:color="auto" w:sz="4" w:space="0"/>
              <w:right w:val="single" w:color="auto" w:sz="4" w:space="0"/>
            </w:tcBorders>
            <w:shd w:val="clear" w:color="000000" w:fill="FFFFFF"/>
            <w:vAlign w:val="center"/>
          </w:tcPr>
          <w:p w14:paraId="579B985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有效</w:t>
            </w:r>
          </w:p>
        </w:tc>
        <w:tc>
          <w:tcPr>
            <w:tcW w:w="264" w:type="pct"/>
            <w:tcBorders>
              <w:top w:val="nil"/>
              <w:left w:val="nil"/>
              <w:bottom w:val="single" w:color="auto" w:sz="4" w:space="0"/>
              <w:right w:val="single" w:color="auto" w:sz="4" w:space="0"/>
            </w:tcBorders>
            <w:shd w:val="clear" w:color="000000" w:fill="FFFFFF"/>
            <w:vAlign w:val="center"/>
          </w:tcPr>
          <w:p w14:paraId="5AA1998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260" w:type="pct"/>
            <w:tcBorders>
              <w:top w:val="nil"/>
              <w:left w:val="nil"/>
              <w:bottom w:val="single" w:color="auto" w:sz="4" w:space="0"/>
              <w:right w:val="single" w:color="auto" w:sz="4" w:space="0"/>
            </w:tcBorders>
            <w:shd w:val="clear" w:color="000000" w:fill="FFFFFF"/>
            <w:vAlign w:val="center"/>
          </w:tcPr>
          <w:p w14:paraId="24D9B10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00BBCBA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未发生违纪违法行为。</w:t>
            </w:r>
          </w:p>
        </w:tc>
      </w:tr>
      <w:tr w14:paraId="4DF7B43E">
        <w:tblPrEx>
          <w:tblCellMar>
            <w:top w:w="0" w:type="dxa"/>
            <w:left w:w="108" w:type="dxa"/>
            <w:bottom w:w="0" w:type="dxa"/>
            <w:right w:w="108" w:type="dxa"/>
          </w:tblCellMar>
        </w:tblPrEx>
        <w:trPr>
          <w:trHeight w:val="23" w:hRule="atLeast"/>
        </w:trPr>
        <w:tc>
          <w:tcPr>
            <w:tcW w:w="263" w:type="pct"/>
            <w:vMerge w:val="restart"/>
            <w:tcBorders>
              <w:top w:val="single" w:color="auto" w:sz="4" w:space="0"/>
              <w:left w:val="single" w:color="auto" w:sz="4" w:space="0"/>
              <w:right w:val="single" w:color="auto" w:sz="4" w:space="0"/>
            </w:tcBorders>
            <w:shd w:val="clear" w:color="000000" w:fill="FFFFFF"/>
            <w:vAlign w:val="center"/>
          </w:tcPr>
          <w:p w14:paraId="135CC5B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C产出</w:t>
            </w:r>
          </w:p>
        </w:tc>
        <w:tc>
          <w:tcPr>
            <w:tcW w:w="321" w:type="pct"/>
            <w:vMerge w:val="restart"/>
            <w:tcBorders>
              <w:top w:val="nil"/>
              <w:left w:val="single" w:color="auto" w:sz="4" w:space="0"/>
              <w:bottom w:val="nil"/>
              <w:right w:val="single" w:color="auto" w:sz="4" w:space="0"/>
            </w:tcBorders>
            <w:shd w:val="clear" w:color="000000" w:fill="FFFFFF"/>
            <w:vAlign w:val="center"/>
          </w:tcPr>
          <w:p w14:paraId="02C251D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C1经济发展与评价</w:t>
            </w:r>
          </w:p>
        </w:tc>
        <w:tc>
          <w:tcPr>
            <w:tcW w:w="490" w:type="pct"/>
            <w:tcBorders>
              <w:top w:val="nil"/>
              <w:left w:val="nil"/>
              <w:bottom w:val="single" w:color="auto" w:sz="4" w:space="0"/>
              <w:right w:val="single" w:color="auto" w:sz="4" w:space="0"/>
            </w:tcBorders>
            <w:shd w:val="clear" w:color="auto" w:fill="auto"/>
            <w:vAlign w:val="center"/>
          </w:tcPr>
          <w:p w14:paraId="33F91D8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C11固定资产投资项目节能评审数</w:t>
            </w:r>
          </w:p>
        </w:tc>
        <w:tc>
          <w:tcPr>
            <w:tcW w:w="795" w:type="pct"/>
            <w:tcBorders>
              <w:top w:val="nil"/>
              <w:left w:val="nil"/>
              <w:bottom w:val="single" w:color="auto" w:sz="4" w:space="0"/>
              <w:right w:val="single" w:color="auto" w:sz="4" w:space="0"/>
            </w:tcBorders>
            <w:shd w:val="clear" w:color="auto" w:fill="auto"/>
            <w:vAlign w:val="center"/>
          </w:tcPr>
          <w:p w14:paraId="0E85837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考核固定资产投资项目节能评审数情况</w:t>
            </w:r>
          </w:p>
        </w:tc>
        <w:tc>
          <w:tcPr>
            <w:tcW w:w="1634" w:type="pct"/>
            <w:tcBorders>
              <w:top w:val="nil"/>
              <w:left w:val="nil"/>
              <w:bottom w:val="single" w:color="auto" w:sz="4" w:space="0"/>
              <w:right w:val="single" w:color="auto" w:sz="4" w:space="0"/>
            </w:tcBorders>
            <w:shd w:val="clear" w:color="auto" w:fill="auto"/>
            <w:vAlign w:val="center"/>
          </w:tcPr>
          <w:p w14:paraId="017E588F">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523816A6">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固定资产投资项目节能评审数是否完成年度计划数。</w:t>
            </w:r>
          </w:p>
          <w:p w14:paraId="223CF98B">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70A099E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固定资产投资项目节能评审数完成目标值得满分，否则按比例扣分。</w:t>
            </w:r>
          </w:p>
        </w:tc>
        <w:tc>
          <w:tcPr>
            <w:tcW w:w="277" w:type="pct"/>
            <w:tcBorders>
              <w:top w:val="nil"/>
              <w:left w:val="nil"/>
              <w:bottom w:val="single" w:color="auto" w:sz="4" w:space="0"/>
              <w:right w:val="single" w:color="auto" w:sz="4" w:space="0"/>
            </w:tcBorders>
            <w:shd w:val="clear" w:color="auto" w:fill="auto"/>
            <w:vAlign w:val="center"/>
          </w:tcPr>
          <w:p w14:paraId="260BD66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≥20</w:t>
            </w:r>
          </w:p>
        </w:tc>
        <w:tc>
          <w:tcPr>
            <w:tcW w:w="264" w:type="pct"/>
            <w:tcBorders>
              <w:top w:val="nil"/>
              <w:left w:val="nil"/>
              <w:bottom w:val="single" w:color="auto" w:sz="4" w:space="0"/>
              <w:right w:val="single" w:color="auto" w:sz="4" w:space="0"/>
            </w:tcBorders>
            <w:shd w:val="clear" w:color="auto" w:fill="auto"/>
            <w:vAlign w:val="center"/>
          </w:tcPr>
          <w:p w14:paraId="672987C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74D6ADE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auto" w:fill="auto"/>
            <w:vAlign w:val="center"/>
          </w:tcPr>
          <w:p w14:paraId="1F94E80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固定资产投资项目节能评审数20个。</w:t>
            </w:r>
          </w:p>
        </w:tc>
      </w:tr>
      <w:tr w14:paraId="432AB9A6">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2FC7DDE5">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nil"/>
              <w:right w:val="single" w:color="auto" w:sz="4" w:space="0"/>
            </w:tcBorders>
            <w:vAlign w:val="center"/>
          </w:tcPr>
          <w:p w14:paraId="7D70404A">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auto" w:fill="auto"/>
            <w:vAlign w:val="center"/>
          </w:tcPr>
          <w:p w14:paraId="6F402D7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C12完成竣工验收项目数</w:t>
            </w:r>
          </w:p>
        </w:tc>
        <w:tc>
          <w:tcPr>
            <w:tcW w:w="795" w:type="pct"/>
            <w:tcBorders>
              <w:top w:val="nil"/>
              <w:left w:val="nil"/>
              <w:bottom w:val="single" w:color="auto" w:sz="4" w:space="0"/>
              <w:right w:val="single" w:color="auto" w:sz="4" w:space="0"/>
            </w:tcBorders>
            <w:shd w:val="clear" w:color="auto" w:fill="auto"/>
            <w:vAlign w:val="center"/>
          </w:tcPr>
          <w:p w14:paraId="783244C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考核完成竣工验收项目数情况</w:t>
            </w:r>
          </w:p>
        </w:tc>
        <w:tc>
          <w:tcPr>
            <w:tcW w:w="1634" w:type="pct"/>
            <w:tcBorders>
              <w:top w:val="nil"/>
              <w:left w:val="nil"/>
              <w:bottom w:val="single" w:color="auto" w:sz="4" w:space="0"/>
              <w:right w:val="single" w:color="auto" w:sz="4" w:space="0"/>
            </w:tcBorders>
            <w:shd w:val="clear" w:color="auto" w:fill="auto"/>
            <w:vAlign w:val="center"/>
          </w:tcPr>
          <w:p w14:paraId="4E5C4401">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105A7F8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完成竣工验收项目数是否完成年度计划数。</w:t>
            </w:r>
          </w:p>
          <w:p w14:paraId="5B8779F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6C84EF4B">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完成竣工验收项目数20个以上得满分，否则按比例扣分。</w:t>
            </w:r>
          </w:p>
        </w:tc>
        <w:tc>
          <w:tcPr>
            <w:tcW w:w="277" w:type="pct"/>
            <w:tcBorders>
              <w:top w:val="nil"/>
              <w:left w:val="nil"/>
              <w:bottom w:val="single" w:color="auto" w:sz="4" w:space="0"/>
              <w:right w:val="single" w:color="auto" w:sz="4" w:space="0"/>
            </w:tcBorders>
            <w:shd w:val="clear" w:color="auto" w:fill="auto"/>
            <w:vAlign w:val="center"/>
          </w:tcPr>
          <w:p w14:paraId="57E0946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≥20</w:t>
            </w:r>
          </w:p>
        </w:tc>
        <w:tc>
          <w:tcPr>
            <w:tcW w:w="264" w:type="pct"/>
            <w:tcBorders>
              <w:top w:val="nil"/>
              <w:left w:val="nil"/>
              <w:bottom w:val="single" w:color="auto" w:sz="4" w:space="0"/>
              <w:right w:val="single" w:color="auto" w:sz="4" w:space="0"/>
            </w:tcBorders>
            <w:shd w:val="clear" w:color="auto" w:fill="auto"/>
            <w:vAlign w:val="center"/>
          </w:tcPr>
          <w:p w14:paraId="22A971D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133B931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auto" w:fill="auto"/>
            <w:vAlign w:val="center"/>
          </w:tcPr>
          <w:p w14:paraId="672567F8">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完成竣工验收项目数10个，扣1分。</w:t>
            </w:r>
          </w:p>
        </w:tc>
      </w:tr>
      <w:tr w14:paraId="102ABD1A">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39BA5B53">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nil"/>
              <w:right w:val="single" w:color="auto" w:sz="4" w:space="0"/>
            </w:tcBorders>
            <w:vAlign w:val="center"/>
          </w:tcPr>
          <w:p w14:paraId="2F2233A0">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auto" w:fill="auto"/>
            <w:vAlign w:val="center"/>
          </w:tcPr>
          <w:p w14:paraId="14E984A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C13举办“双碳”相关活动次数</w:t>
            </w:r>
          </w:p>
        </w:tc>
        <w:tc>
          <w:tcPr>
            <w:tcW w:w="795" w:type="pct"/>
            <w:tcBorders>
              <w:top w:val="nil"/>
              <w:left w:val="nil"/>
              <w:bottom w:val="single" w:color="auto" w:sz="4" w:space="0"/>
              <w:right w:val="single" w:color="auto" w:sz="4" w:space="0"/>
            </w:tcBorders>
            <w:shd w:val="clear" w:color="auto" w:fill="auto"/>
            <w:vAlign w:val="center"/>
          </w:tcPr>
          <w:p w14:paraId="2EA8098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考核举办“双碳”相关活动次数情况</w:t>
            </w:r>
          </w:p>
        </w:tc>
        <w:tc>
          <w:tcPr>
            <w:tcW w:w="1634" w:type="pct"/>
            <w:tcBorders>
              <w:top w:val="nil"/>
              <w:left w:val="nil"/>
              <w:bottom w:val="single" w:color="auto" w:sz="4" w:space="0"/>
              <w:right w:val="single" w:color="auto" w:sz="4" w:space="0"/>
            </w:tcBorders>
            <w:shd w:val="clear" w:color="auto" w:fill="auto"/>
            <w:vAlign w:val="center"/>
          </w:tcPr>
          <w:p w14:paraId="22BC06D1">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63796E0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举办“双碳”相关活动是否完成年度计划数。</w:t>
            </w:r>
          </w:p>
          <w:p w14:paraId="570A8CBF">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6B7010B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举办1次“双碳”相关活动得满分，否则不得分。</w:t>
            </w:r>
          </w:p>
        </w:tc>
        <w:tc>
          <w:tcPr>
            <w:tcW w:w="277" w:type="pct"/>
            <w:tcBorders>
              <w:top w:val="nil"/>
              <w:left w:val="nil"/>
              <w:bottom w:val="single" w:color="auto" w:sz="4" w:space="0"/>
              <w:right w:val="single" w:color="auto" w:sz="4" w:space="0"/>
            </w:tcBorders>
            <w:shd w:val="clear" w:color="auto" w:fill="auto"/>
            <w:vAlign w:val="center"/>
          </w:tcPr>
          <w:p w14:paraId="457F115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完成</w:t>
            </w:r>
          </w:p>
        </w:tc>
        <w:tc>
          <w:tcPr>
            <w:tcW w:w="264" w:type="pct"/>
            <w:tcBorders>
              <w:top w:val="nil"/>
              <w:left w:val="nil"/>
              <w:bottom w:val="single" w:color="auto" w:sz="4" w:space="0"/>
              <w:right w:val="single" w:color="auto" w:sz="4" w:space="0"/>
            </w:tcBorders>
            <w:shd w:val="clear" w:color="auto" w:fill="auto"/>
            <w:vAlign w:val="center"/>
          </w:tcPr>
          <w:p w14:paraId="284D5EF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58AC9DC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auto" w:fill="auto"/>
            <w:vAlign w:val="center"/>
          </w:tcPr>
          <w:p w14:paraId="0EBCA82D">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举办了1次“双碳”相关活动。</w:t>
            </w:r>
          </w:p>
        </w:tc>
      </w:tr>
      <w:tr w14:paraId="2174BB56">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1D1B6E62">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3CE9C9A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C2社会民生发展研究</w:t>
            </w:r>
          </w:p>
        </w:tc>
        <w:tc>
          <w:tcPr>
            <w:tcW w:w="490" w:type="pct"/>
            <w:tcBorders>
              <w:top w:val="nil"/>
              <w:left w:val="nil"/>
              <w:bottom w:val="single" w:color="auto" w:sz="4" w:space="0"/>
              <w:right w:val="single" w:color="auto" w:sz="4" w:space="0"/>
            </w:tcBorders>
            <w:shd w:val="clear" w:color="auto" w:fill="auto"/>
            <w:vAlign w:val="center"/>
          </w:tcPr>
          <w:p w14:paraId="2CE6CF5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C21形成调研报告、经济形势分析数量</w:t>
            </w:r>
          </w:p>
        </w:tc>
        <w:tc>
          <w:tcPr>
            <w:tcW w:w="795" w:type="pct"/>
            <w:tcBorders>
              <w:top w:val="nil"/>
              <w:left w:val="nil"/>
              <w:bottom w:val="nil"/>
              <w:right w:val="single" w:color="auto" w:sz="4" w:space="0"/>
            </w:tcBorders>
            <w:shd w:val="clear" w:color="auto" w:fill="auto"/>
            <w:vAlign w:val="center"/>
          </w:tcPr>
          <w:p w14:paraId="0FD1FF3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考察形成调研报告、经济形势分析数量情况</w:t>
            </w:r>
          </w:p>
        </w:tc>
        <w:tc>
          <w:tcPr>
            <w:tcW w:w="1634" w:type="pct"/>
            <w:tcBorders>
              <w:top w:val="nil"/>
              <w:left w:val="nil"/>
              <w:bottom w:val="single" w:color="auto" w:sz="4" w:space="0"/>
              <w:right w:val="single" w:color="auto" w:sz="4" w:space="0"/>
            </w:tcBorders>
            <w:shd w:val="clear" w:color="auto" w:fill="auto"/>
            <w:vAlign w:val="center"/>
          </w:tcPr>
          <w:p w14:paraId="1FDA9B69">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评价要点：形成调研报告、经济形势分析报告是否完成年度计划数。</w:t>
            </w:r>
          </w:p>
          <w:p w14:paraId="223740D1">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6458A3C9">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形成10篇调研报告、经济形势分析满分，否则按比例扣分。</w:t>
            </w:r>
          </w:p>
        </w:tc>
        <w:tc>
          <w:tcPr>
            <w:tcW w:w="277" w:type="pct"/>
            <w:tcBorders>
              <w:top w:val="nil"/>
              <w:left w:val="nil"/>
              <w:bottom w:val="single" w:color="auto" w:sz="4" w:space="0"/>
              <w:right w:val="single" w:color="auto" w:sz="4" w:space="0"/>
            </w:tcBorders>
            <w:shd w:val="clear" w:color="auto" w:fill="auto"/>
            <w:vAlign w:val="center"/>
          </w:tcPr>
          <w:p w14:paraId="387D86B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≥10篇</w:t>
            </w:r>
          </w:p>
        </w:tc>
        <w:tc>
          <w:tcPr>
            <w:tcW w:w="264" w:type="pct"/>
            <w:tcBorders>
              <w:top w:val="nil"/>
              <w:left w:val="nil"/>
              <w:bottom w:val="single" w:color="auto" w:sz="4" w:space="0"/>
              <w:right w:val="single" w:color="auto" w:sz="4" w:space="0"/>
            </w:tcBorders>
            <w:shd w:val="clear" w:color="auto" w:fill="auto"/>
            <w:vAlign w:val="center"/>
          </w:tcPr>
          <w:p w14:paraId="4CE0A65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332CCF1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auto" w:fill="auto"/>
            <w:vAlign w:val="center"/>
          </w:tcPr>
          <w:p w14:paraId="74F005CA">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完成经济形势分析报告53篇。</w:t>
            </w:r>
          </w:p>
        </w:tc>
      </w:tr>
      <w:tr w14:paraId="094863F3">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538AA655">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single" w:color="auto" w:sz="4" w:space="0"/>
              <w:left w:val="single" w:color="auto" w:sz="4" w:space="0"/>
              <w:bottom w:val="single" w:color="000000" w:sz="4" w:space="0"/>
              <w:right w:val="single" w:color="auto" w:sz="4" w:space="0"/>
            </w:tcBorders>
            <w:vAlign w:val="center"/>
          </w:tcPr>
          <w:p w14:paraId="5F6087BF">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auto" w:fill="auto"/>
            <w:vAlign w:val="center"/>
          </w:tcPr>
          <w:p w14:paraId="4D1E451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C2获省发改委刊登篇数</w:t>
            </w:r>
          </w:p>
        </w:tc>
        <w:tc>
          <w:tcPr>
            <w:tcW w:w="795" w:type="pct"/>
            <w:tcBorders>
              <w:top w:val="single" w:color="auto" w:sz="4" w:space="0"/>
              <w:left w:val="nil"/>
              <w:bottom w:val="single" w:color="auto" w:sz="4" w:space="0"/>
              <w:right w:val="single" w:color="auto" w:sz="4" w:space="0"/>
            </w:tcBorders>
            <w:shd w:val="clear" w:color="auto" w:fill="auto"/>
            <w:vAlign w:val="center"/>
          </w:tcPr>
          <w:p w14:paraId="495F91D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考核获省发改委刊登情况</w:t>
            </w:r>
          </w:p>
        </w:tc>
        <w:tc>
          <w:tcPr>
            <w:tcW w:w="1634" w:type="pct"/>
            <w:tcBorders>
              <w:top w:val="nil"/>
              <w:left w:val="nil"/>
              <w:bottom w:val="single" w:color="auto" w:sz="4" w:space="0"/>
              <w:right w:val="single" w:color="auto" w:sz="4" w:space="0"/>
            </w:tcBorders>
            <w:shd w:val="clear" w:color="auto" w:fill="auto"/>
            <w:vAlign w:val="center"/>
          </w:tcPr>
          <w:p w14:paraId="695B9E82">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6147F952">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获得省级以上刊登的各项社会民生发展研究报告是否完成年度计划数。</w:t>
            </w:r>
          </w:p>
          <w:p w14:paraId="6041A28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75829E0B">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获得省级以上刊登的各项社会民生发展研究报告2篇得满分，否则按比例扣分。</w:t>
            </w:r>
          </w:p>
        </w:tc>
        <w:tc>
          <w:tcPr>
            <w:tcW w:w="277" w:type="pct"/>
            <w:tcBorders>
              <w:top w:val="nil"/>
              <w:left w:val="nil"/>
              <w:bottom w:val="single" w:color="auto" w:sz="4" w:space="0"/>
              <w:right w:val="single" w:color="auto" w:sz="4" w:space="0"/>
            </w:tcBorders>
            <w:shd w:val="clear" w:color="auto" w:fill="auto"/>
            <w:vAlign w:val="center"/>
          </w:tcPr>
          <w:p w14:paraId="71C4746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≥2篇</w:t>
            </w:r>
          </w:p>
        </w:tc>
        <w:tc>
          <w:tcPr>
            <w:tcW w:w="264" w:type="pct"/>
            <w:tcBorders>
              <w:top w:val="nil"/>
              <w:left w:val="nil"/>
              <w:bottom w:val="single" w:color="auto" w:sz="4" w:space="0"/>
              <w:right w:val="single" w:color="auto" w:sz="4" w:space="0"/>
            </w:tcBorders>
            <w:shd w:val="clear" w:color="auto" w:fill="auto"/>
            <w:vAlign w:val="center"/>
          </w:tcPr>
          <w:p w14:paraId="265825E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54BA607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auto" w:fill="auto"/>
            <w:vAlign w:val="center"/>
          </w:tcPr>
          <w:p w14:paraId="6276A77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获得省级以上刊登的各项社会民生发展研究报告2篇。</w:t>
            </w:r>
          </w:p>
        </w:tc>
      </w:tr>
      <w:tr w14:paraId="2D458AEE">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32D8A946">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single" w:color="auto" w:sz="4" w:space="0"/>
              <w:left w:val="single" w:color="auto" w:sz="4" w:space="0"/>
              <w:bottom w:val="single" w:color="000000" w:sz="4" w:space="0"/>
              <w:right w:val="single" w:color="auto" w:sz="4" w:space="0"/>
            </w:tcBorders>
            <w:vAlign w:val="center"/>
          </w:tcPr>
          <w:p w14:paraId="00C8B813">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auto" w:fill="auto"/>
            <w:vAlign w:val="center"/>
          </w:tcPr>
          <w:p w14:paraId="6D954AE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C23形成民生实事候选项目数</w:t>
            </w:r>
          </w:p>
        </w:tc>
        <w:tc>
          <w:tcPr>
            <w:tcW w:w="795" w:type="pct"/>
            <w:tcBorders>
              <w:top w:val="nil"/>
              <w:left w:val="nil"/>
              <w:bottom w:val="single" w:color="auto" w:sz="4" w:space="0"/>
              <w:right w:val="single" w:color="auto" w:sz="4" w:space="0"/>
            </w:tcBorders>
            <w:shd w:val="clear" w:color="auto" w:fill="auto"/>
            <w:vAlign w:val="center"/>
          </w:tcPr>
          <w:p w14:paraId="67502F14">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考核形成民生实事候选项目情况</w:t>
            </w:r>
          </w:p>
        </w:tc>
        <w:tc>
          <w:tcPr>
            <w:tcW w:w="1634" w:type="pct"/>
            <w:tcBorders>
              <w:top w:val="nil"/>
              <w:left w:val="nil"/>
              <w:bottom w:val="single" w:color="auto" w:sz="4" w:space="0"/>
              <w:right w:val="single" w:color="auto" w:sz="4" w:space="0"/>
            </w:tcBorders>
            <w:shd w:val="clear" w:color="auto" w:fill="auto"/>
            <w:vAlign w:val="center"/>
          </w:tcPr>
          <w:p w14:paraId="50DCAD6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09201AA7">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形成民生实事候选项目是否完成年度计划数。</w:t>
            </w:r>
          </w:p>
          <w:p w14:paraId="5F2B8C7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51F258D9">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形成民生实事候选项目40个以上得满分，否则按比例扣分。</w:t>
            </w:r>
          </w:p>
        </w:tc>
        <w:tc>
          <w:tcPr>
            <w:tcW w:w="277" w:type="pct"/>
            <w:tcBorders>
              <w:top w:val="nil"/>
              <w:left w:val="nil"/>
              <w:bottom w:val="single" w:color="auto" w:sz="4" w:space="0"/>
              <w:right w:val="single" w:color="auto" w:sz="4" w:space="0"/>
            </w:tcBorders>
            <w:shd w:val="clear" w:color="auto" w:fill="auto"/>
            <w:vAlign w:val="center"/>
          </w:tcPr>
          <w:p w14:paraId="1913EDD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≥40个</w:t>
            </w:r>
          </w:p>
        </w:tc>
        <w:tc>
          <w:tcPr>
            <w:tcW w:w="264" w:type="pct"/>
            <w:tcBorders>
              <w:top w:val="nil"/>
              <w:left w:val="nil"/>
              <w:bottom w:val="single" w:color="auto" w:sz="4" w:space="0"/>
              <w:right w:val="single" w:color="auto" w:sz="4" w:space="0"/>
            </w:tcBorders>
            <w:shd w:val="clear" w:color="auto" w:fill="auto"/>
            <w:vAlign w:val="center"/>
          </w:tcPr>
          <w:p w14:paraId="000CF0A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57BFDBB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auto" w:fill="auto"/>
            <w:vAlign w:val="center"/>
          </w:tcPr>
          <w:p w14:paraId="4C2AA30B">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制定社会民生实事候选项目42个。</w:t>
            </w:r>
          </w:p>
        </w:tc>
      </w:tr>
      <w:tr w14:paraId="37852231">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0AA97037">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nil"/>
              <w:left w:val="single" w:color="auto" w:sz="4" w:space="0"/>
              <w:bottom w:val="nil"/>
              <w:right w:val="single" w:color="auto" w:sz="4" w:space="0"/>
            </w:tcBorders>
            <w:shd w:val="clear" w:color="000000" w:fill="FFFFFF"/>
            <w:vAlign w:val="center"/>
          </w:tcPr>
          <w:p w14:paraId="19AB662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C3区域协调发展</w:t>
            </w:r>
          </w:p>
        </w:tc>
        <w:tc>
          <w:tcPr>
            <w:tcW w:w="490" w:type="pct"/>
            <w:tcBorders>
              <w:top w:val="nil"/>
              <w:left w:val="nil"/>
              <w:bottom w:val="single" w:color="auto" w:sz="4" w:space="0"/>
              <w:right w:val="single" w:color="auto" w:sz="4" w:space="0"/>
            </w:tcBorders>
            <w:shd w:val="clear" w:color="auto" w:fill="auto"/>
            <w:vAlign w:val="center"/>
          </w:tcPr>
          <w:p w14:paraId="23DA242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C31对口支援检查及开展活动次数</w:t>
            </w:r>
          </w:p>
        </w:tc>
        <w:tc>
          <w:tcPr>
            <w:tcW w:w="795" w:type="pct"/>
            <w:tcBorders>
              <w:top w:val="nil"/>
              <w:left w:val="nil"/>
              <w:bottom w:val="single" w:color="auto" w:sz="4" w:space="0"/>
              <w:right w:val="single" w:color="auto" w:sz="4" w:space="0"/>
            </w:tcBorders>
            <w:shd w:val="clear" w:color="auto" w:fill="auto"/>
            <w:vAlign w:val="center"/>
          </w:tcPr>
          <w:p w14:paraId="49CB539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考核对口支援工作完成情况</w:t>
            </w:r>
          </w:p>
        </w:tc>
        <w:tc>
          <w:tcPr>
            <w:tcW w:w="1634" w:type="pct"/>
            <w:tcBorders>
              <w:top w:val="nil"/>
              <w:left w:val="nil"/>
              <w:bottom w:val="single" w:color="auto" w:sz="4" w:space="0"/>
              <w:right w:val="single" w:color="auto" w:sz="4" w:space="0"/>
            </w:tcBorders>
            <w:shd w:val="clear" w:color="auto" w:fill="auto"/>
            <w:vAlign w:val="center"/>
          </w:tcPr>
          <w:p w14:paraId="66CE4696">
            <w:pPr>
              <w:widowControl/>
              <w:spacing w:line="240" w:lineRule="auto"/>
              <w:ind w:firstLine="0" w:firstLineChars="0"/>
              <w:jc w:val="left"/>
              <w:rPr>
                <w:rFonts w:ascii="Times New Roman" w:hAnsi="Times New Roman" w:eastAsia="方正楷体_GBK" w:cs="Times New Roman"/>
                <w:kern w:val="0"/>
                <w:sz w:val="22"/>
              </w:rPr>
            </w:pPr>
            <w:r>
              <w:rPr>
                <w:rFonts w:ascii="Times New Roman" w:hAnsi="Times New Roman" w:eastAsia="方正楷体_GBK" w:cs="Times New Roman"/>
                <w:kern w:val="0"/>
                <w:sz w:val="22"/>
              </w:rPr>
              <w:t>评价要点：</w:t>
            </w:r>
          </w:p>
          <w:p w14:paraId="06471EE5">
            <w:pPr>
              <w:widowControl/>
              <w:spacing w:line="240" w:lineRule="auto"/>
              <w:ind w:firstLine="0" w:firstLineChars="0"/>
              <w:jc w:val="left"/>
              <w:rPr>
                <w:rFonts w:ascii="Times New Roman" w:hAnsi="Times New Roman" w:eastAsia="方正楷体_GBK" w:cs="Times New Roman"/>
                <w:kern w:val="0"/>
                <w:sz w:val="22"/>
              </w:rPr>
            </w:pPr>
            <w:r>
              <w:rPr>
                <w:rFonts w:ascii="Times New Roman" w:hAnsi="Times New Roman" w:eastAsia="方正楷体_GBK" w:cs="Times New Roman"/>
                <w:kern w:val="0"/>
                <w:sz w:val="22"/>
              </w:rPr>
              <w:t>开展西部行及赴结对地区督查</w:t>
            </w:r>
            <w:r>
              <w:rPr>
                <w:rFonts w:ascii="Times New Roman" w:hAnsi="Times New Roman" w:eastAsia="方正楷体_GBK" w:cs="Times New Roman"/>
                <w:color w:val="000000"/>
                <w:kern w:val="0"/>
                <w:sz w:val="22"/>
              </w:rPr>
              <w:t>是否完成年度计划数</w:t>
            </w:r>
            <w:r>
              <w:rPr>
                <w:rFonts w:ascii="Times New Roman" w:hAnsi="Times New Roman" w:eastAsia="方正楷体_GBK" w:cs="Times New Roman"/>
                <w:kern w:val="0"/>
                <w:sz w:val="22"/>
              </w:rPr>
              <w:t>。</w:t>
            </w:r>
          </w:p>
          <w:p w14:paraId="69A9AD49">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11731F74">
            <w:pPr>
              <w:widowControl/>
              <w:spacing w:line="240" w:lineRule="auto"/>
              <w:ind w:firstLine="0" w:firstLineChars="0"/>
              <w:jc w:val="left"/>
              <w:rPr>
                <w:rFonts w:ascii="Times New Roman" w:hAnsi="Times New Roman" w:eastAsia="方正楷体_GBK" w:cs="Times New Roman"/>
                <w:color w:val="303331"/>
                <w:kern w:val="0"/>
                <w:sz w:val="22"/>
              </w:rPr>
            </w:pPr>
            <w:r>
              <w:rPr>
                <w:rFonts w:ascii="Times New Roman" w:hAnsi="Times New Roman" w:eastAsia="方正楷体_GBK" w:cs="Times New Roman"/>
                <w:kern w:val="0"/>
                <w:sz w:val="22"/>
              </w:rPr>
              <w:t>开展西部行及赴结对地区督查13次以上得满分，否则按比例扣分</w:t>
            </w:r>
          </w:p>
        </w:tc>
        <w:tc>
          <w:tcPr>
            <w:tcW w:w="277" w:type="pct"/>
            <w:tcBorders>
              <w:top w:val="nil"/>
              <w:left w:val="nil"/>
              <w:bottom w:val="single" w:color="auto" w:sz="4" w:space="0"/>
              <w:right w:val="single" w:color="auto" w:sz="4" w:space="0"/>
            </w:tcBorders>
            <w:shd w:val="clear" w:color="auto" w:fill="auto"/>
            <w:vAlign w:val="center"/>
          </w:tcPr>
          <w:p w14:paraId="1CE233F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≥13次</w:t>
            </w:r>
          </w:p>
        </w:tc>
        <w:tc>
          <w:tcPr>
            <w:tcW w:w="264" w:type="pct"/>
            <w:tcBorders>
              <w:top w:val="nil"/>
              <w:left w:val="nil"/>
              <w:bottom w:val="single" w:color="auto" w:sz="4" w:space="0"/>
              <w:right w:val="single" w:color="auto" w:sz="4" w:space="0"/>
            </w:tcBorders>
            <w:shd w:val="clear" w:color="auto" w:fill="auto"/>
            <w:vAlign w:val="center"/>
          </w:tcPr>
          <w:p w14:paraId="6CB4999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260" w:type="pct"/>
            <w:tcBorders>
              <w:top w:val="nil"/>
              <w:left w:val="nil"/>
              <w:bottom w:val="single" w:color="auto" w:sz="4" w:space="0"/>
              <w:right w:val="single" w:color="auto" w:sz="4" w:space="0"/>
            </w:tcBorders>
            <w:shd w:val="clear" w:color="auto" w:fill="auto"/>
            <w:vAlign w:val="center"/>
          </w:tcPr>
          <w:p w14:paraId="38616B6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691" w:type="pct"/>
            <w:tcBorders>
              <w:top w:val="nil"/>
              <w:left w:val="nil"/>
              <w:bottom w:val="single" w:color="auto" w:sz="4" w:space="0"/>
              <w:right w:val="single" w:color="auto" w:sz="4" w:space="0"/>
            </w:tcBorders>
            <w:shd w:val="clear" w:color="auto" w:fill="auto"/>
            <w:vAlign w:val="center"/>
          </w:tcPr>
          <w:p w14:paraId="1B1B844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kern w:val="0"/>
                <w:sz w:val="22"/>
              </w:rPr>
              <w:t>开展西部行及赴结对地区督查15次。</w:t>
            </w:r>
          </w:p>
        </w:tc>
      </w:tr>
      <w:tr w14:paraId="77E14A92">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4C792503">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nil"/>
              <w:right w:val="single" w:color="auto" w:sz="4" w:space="0"/>
            </w:tcBorders>
            <w:vAlign w:val="center"/>
          </w:tcPr>
          <w:p w14:paraId="5563485E">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auto" w:fill="auto"/>
            <w:vAlign w:val="center"/>
          </w:tcPr>
          <w:p w14:paraId="085D7E0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C32长江经济带宣传活动、推文及报道</w:t>
            </w:r>
          </w:p>
        </w:tc>
        <w:tc>
          <w:tcPr>
            <w:tcW w:w="795" w:type="pct"/>
            <w:tcBorders>
              <w:top w:val="nil"/>
              <w:left w:val="nil"/>
              <w:bottom w:val="single" w:color="auto" w:sz="4" w:space="0"/>
              <w:right w:val="single" w:color="auto" w:sz="4" w:space="0"/>
            </w:tcBorders>
            <w:shd w:val="clear" w:color="auto" w:fill="auto"/>
            <w:vAlign w:val="center"/>
          </w:tcPr>
          <w:p w14:paraId="2D68867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考核长江经济带高质量发展工作宣传情况</w:t>
            </w:r>
          </w:p>
        </w:tc>
        <w:tc>
          <w:tcPr>
            <w:tcW w:w="1634" w:type="pct"/>
            <w:tcBorders>
              <w:top w:val="nil"/>
              <w:left w:val="nil"/>
              <w:bottom w:val="single" w:color="auto" w:sz="4" w:space="0"/>
              <w:right w:val="single" w:color="auto" w:sz="4" w:space="0"/>
            </w:tcBorders>
            <w:shd w:val="clear" w:color="auto" w:fill="auto"/>
            <w:vAlign w:val="center"/>
          </w:tcPr>
          <w:p w14:paraId="7D57B786">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019C15BD">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发表长江经济带高质量发展宣传报告是否完成年度计划数。</w:t>
            </w:r>
          </w:p>
          <w:p w14:paraId="0F26D5B1">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21FEF2D6">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发表长江经济带高质量发展宣传报告20篇以上得满分，否则按比例扣分</w:t>
            </w:r>
          </w:p>
        </w:tc>
        <w:tc>
          <w:tcPr>
            <w:tcW w:w="277" w:type="pct"/>
            <w:tcBorders>
              <w:top w:val="nil"/>
              <w:left w:val="nil"/>
              <w:bottom w:val="single" w:color="auto" w:sz="4" w:space="0"/>
              <w:right w:val="single" w:color="auto" w:sz="4" w:space="0"/>
            </w:tcBorders>
            <w:shd w:val="clear" w:color="auto" w:fill="auto"/>
            <w:vAlign w:val="center"/>
          </w:tcPr>
          <w:p w14:paraId="6CB2041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≥20篇</w:t>
            </w:r>
          </w:p>
        </w:tc>
        <w:tc>
          <w:tcPr>
            <w:tcW w:w="264" w:type="pct"/>
            <w:tcBorders>
              <w:top w:val="nil"/>
              <w:left w:val="nil"/>
              <w:bottom w:val="single" w:color="auto" w:sz="4" w:space="0"/>
              <w:right w:val="single" w:color="auto" w:sz="4" w:space="0"/>
            </w:tcBorders>
            <w:shd w:val="clear" w:color="auto" w:fill="auto"/>
            <w:vAlign w:val="center"/>
          </w:tcPr>
          <w:p w14:paraId="2D8EFCF4">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260" w:type="pct"/>
            <w:tcBorders>
              <w:top w:val="nil"/>
              <w:left w:val="nil"/>
              <w:bottom w:val="single" w:color="auto" w:sz="4" w:space="0"/>
              <w:right w:val="single" w:color="auto" w:sz="4" w:space="0"/>
            </w:tcBorders>
            <w:shd w:val="clear" w:color="auto" w:fill="auto"/>
            <w:vAlign w:val="center"/>
          </w:tcPr>
          <w:p w14:paraId="4CBEB80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691" w:type="pct"/>
            <w:tcBorders>
              <w:top w:val="nil"/>
              <w:left w:val="nil"/>
              <w:bottom w:val="single" w:color="auto" w:sz="4" w:space="0"/>
              <w:right w:val="single" w:color="auto" w:sz="4" w:space="0"/>
            </w:tcBorders>
            <w:shd w:val="clear" w:color="auto" w:fill="auto"/>
            <w:vAlign w:val="center"/>
          </w:tcPr>
          <w:p w14:paraId="7680ACA1">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发表长江经济带高质量发展宣传报告20篇。</w:t>
            </w:r>
          </w:p>
        </w:tc>
      </w:tr>
      <w:tr w14:paraId="243D52F2">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008B3174">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5A969E2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C4社会信用体系建设</w:t>
            </w:r>
          </w:p>
        </w:tc>
        <w:tc>
          <w:tcPr>
            <w:tcW w:w="490" w:type="pct"/>
            <w:tcBorders>
              <w:top w:val="nil"/>
              <w:left w:val="nil"/>
              <w:bottom w:val="single" w:color="auto" w:sz="4" w:space="0"/>
              <w:right w:val="single" w:color="auto" w:sz="4" w:space="0"/>
            </w:tcBorders>
            <w:shd w:val="clear" w:color="000000" w:fill="FFFFFF"/>
            <w:vAlign w:val="center"/>
          </w:tcPr>
          <w:p w14:paraId="5C71791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C41企业信用评级报告抽查检验工作通过专家评审次数</w:t>
            </w:r>
          </w:p>
        </w:tc>
        <w:tc>
          <w:tcPr>
            <w:tcW w:w="795" w:type="pct"/>
            <w:tcBorders>
              <w:top w:val="nil"/>
              <w:left w:val="nil"/>
              <w:bottom w:val="single" w:color="auto" w:sz="4" w:space="0"/>
              <w:right w:val="single" w:color="auto" w:sz="4" w:space="0"/>
            </w:tcBorders>
            <w:shd w:val="clear" w:color="000000" w:fill="FFFFFF"/>
            <w:vAlign w:val="center"/>
          </w:tcPr>
          <w:p w14:paraId="792D580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考核企业信用评级报告抽查检验工作通过专家评审情况</w:t>
            </w:r>
          </w:p>
        </w:tc>
        <w:tc>
          <w:tcPr>
            <w:tcW w:w="1634" w:type="pct"/>
            <w:tcBorders>
              <w:top w:val="nil"/>
              <w:left w:val="nil"/>
              <w:bottom w:val="single" w:color="auto" w:sz="4" w:space="0"/>
              <w:right w:val="single" w:color="auto" w:sz="4" w:space="0"/>
            </w:tcBorders>
            <w:shd w:val="clear" w:color="000000" w:fill="FFFFFF"/>
            <w:vAlign w:val="center"/>
          </w:tcPr>
          <w:p w14:paraId="0BA20FE7">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评价要点：企业信用评级报告抽查检验工作通过专家评审是否完成年度计划数。</w:t>
            </w:r>
          </w:p>
          <w:p w14:paraId="5558627F">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517280AB">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企业信用评级报告抽查检验工作通过专家评审2次以上得满分，否则按比例扣分。</w:t>
            </w:r>
          </w:p>
        </w:tc>
        <w:tc>
          <w:tcPr>
            <w:tcW w:w="277" w:type="pct"/>
            <w:tcBorders>
              <w:top w:val="nil"/>
              <w:left w:val="nil"/>
              <w:bottom w:val="single" w:color="auto" w:sz="4" w:space="0"/>
              <w:right w:val="single" w:color="auto" w:sz="4" w:space="0"/>
            </w:tcBorders>
            <w:shd w:val="clear" w:color="000000" w:fill="FFFFFF"/>
            <w:vAlign w:val="center"/>
          </w:tcPr>
          <w:p w14:paraId="2C4B296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4" w:type="pct"/>
            <w:tcBorders>
              <w:top w:val="nil"/>
              <w:left w:val="nil"/>
              <w:bottom w:val="single" w:color="auto" w:sz="4" w:space="0"/>
              <w:right w:val="single" w:color="auto" w:sz="4" w:space="0"/>
            </w:tcBorders>
            <w:shd w:val="clear" w:color="000000" w:fill="FFFFFF"/>
            <w:vAlign w:val="center"/>
          </w:tcPr>
          <w:p w14:paraId="67DBECE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000000" w:fill="FFFFFF"/>
            <w:vAlign w:val="center"/>
          </w:tcPr>
          <w:p w14:paraId="5573AAE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000000" w:fill="FFFFFF"/>
            <w:vAlign w:val="center"/>
          </w:tcPr>
          <w:p w14:paraId="211577A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由于财政紧缩，不再邀请专家评审，改由信用自行验收。</w:t>
            </w:r>
          </w:p>
        </w:tc>
      </w:tr>
      <w:tr w14:paraId="6CC22C23">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10ADA664">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single" w:color="auto" w:sz="4" w:space="0"/>
              <w:left w:val="single" w:color="auto" w:sz="4" w:space="0"/>
              <w:bottom w:val="single" w:color="000000" w:sz="4" w:space="0"/>
              <w:right w:val="single" w:color="auto" w:sz="4" w:space="0"/>
            </w:tcBorders>
            <w:vAlign w:val="center"/>
          </w:tcPr>
          <w:p w14:paraId="583203AF">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auto" w:fill="auto"/>
            <w:vAlign w:val="center"/>
          </w:tcPr>
          <w:p w14:paraId="56015A94">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C42信用监测国家排名</w:t>
            </w:r>
          </w:p>
        </w:tc>
        <w:tc>
          <w:tcPr>
            <w:tcW w:w="795" w:type="pct"/>
            <w:tcBorders>
              <w:top w:val="nil"/>
              <w:left w:val="nil"/>
              <w:bottom w:val="single" w:color="auto" w:sz="4" w:space="0"/>
              <w:right w:val="single" w:color="auto" w:sz="4" w:space="0"/>
            </w:tcBorders>
            <w:shd w:val="clear" w:color="auto" w:fill="auto"/>
            <w:vAlign w:val="center"/>
          </w:tcPr>
          <w:p w14:paraId="3138411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考核信用监测国家排名情况</w:t>
            </w:r>
          </w:p>
        </w:tc>
        <w:tc>
          <w:tcPr>
            <w:tcW w:w="1634" w:type="pct"/>
            <w:tcBorders>
              <w:top w:val="nil"/>
              <w:left w:val="nil"/>
              <w:bottom w:val="single" w:color="auto" w:sz="4" w:space="0"/>
              <w:right w:val="single" w:color="auto" w:sz="4" w:space="0"/>
            </w:tcBorders>
            <w:shd w:val="clear" w:color="auto" w:fill="auto"/>
            <w:vAlign w:val="center"/>
          </w:tcPr>
          <w:p w14:paraId="0618CFA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322936F1">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信用监测国家排名在同类城市中保持在中上游。</w:t>
            </w:r>
          </w:p>
          <w:p w14:paraId="1229AC32">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275A47E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在同类城市中排名保持在中上游得满分，否则不得分</w:t>
            </w:r>
          </w:p>
        </w:tc>
        <w:tc>
          <w:tcPr>
            <w:tcW w:w="277" w:type="pct"/>
            <w:tcBorders>
              <w:top w:val="nil"/>
              <w:left w:val="nil"/>
              <w:bottom w:val="single" w:color="auto" w:sz="4" w:space="0"/>
              <w:right w:val="single" w:color="auto" w:sz="4" w:space="0"/>
            </w:tcBorders>
            <w:shd w:val="clear" w:color="auto" w:fill="auto"/>
            <w:vAlign w:val="center"/>
          </w:tcPr>
          <w:p w14:paraId="18AE32D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排名保持在中上游</w:t>
            </w:r>
          </w:p>
        </w:tc>
        <w:tc>
          <w:tcPr>
            <w:tcW w:w="264" w:type="pct"/>
            <w:tcBorders>
              <w:top w:val="nil"/>
              <w:left w:val="nil"/>
              <w:bottom w:val="single" w:color="auto" w:sz="4" w:space="0"/>
              <w:right w:val="single" w:color="auto" w:sz="4" w:space="0"/>
            </w:tcBorders>
            <w:shd w:val="clear" w:color="auto" w:fill="auto"/>
            <w:vAlign w:val="center"/>
          </w:tcPr>
          <w:p w14:paraId="1C5CD82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61DC139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auto" w:fill="auto"/>
            <w:vAlign w:val="center"/>
          </w:tcPr>
          <w:p w14:paraId="6FE3C4A6">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在36个省会及副省级以上城市中排名第7位。</w:t>
            </w:r>
          </w:p>
        </w:tc>
      </w:tr>
      <w:tr w14:paraId="4AE0AA8E">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5BB6DA7C">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single" w:color="auto" w:sz="4" w:space="0"/>
              <w:left w:val="single" w:color="auto" w:sz="4" w:space="0"/>
              <w:bottom w:val="single" w:color="000000" w:sz="4" w:space="0"/>
              <w:right w:val="single" w:color="auto" w:sz="4" w:space="0"/>
            </w:tcBorders>
            <w:vAlign w:val="center"/>
          </w:tcPr>
          <w:p w14:paraId="41FA1451">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0958D79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C43信用主题活动综合报道以及深度报道等稿件数</w:t>
            </w:r>
          </w:p>
        </w:tc>
        <w:tc>
          <w:tcPr>
            <w:tcW w:w="795" w:type="pct"/>
            <w:tcBorders>
              <w:top w:val="nil"/>
              <w:left w:val="nil"/>
              <w:bottom w:val="single" w:color="auto" w:sz="4" w:space="0"/>
              <w:right w:val="single" w:color="auto" w:sz="4" w:space="0"/>
            </w:tcBorders>
            <w:shd w:val="clear" w:color="000000" w:fill="FFFFFF"/>
            <w:vAlign w:val="center"/>
          </w:tcPr>
          <w:p w14:paraId="1AFC01D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考核信用主题活动综合报道以及深度报道等稿件数情况</w:t>
            </w:r>
          </w:p>
        </w:tc>
        <w:tc>
          <w:tcPr>
            <w:tcW w:w="1634" w:type="pct"/>
            <w:tcBorders>
              <w:top w:val="nil"/>
              <w:left w:val="nil"/>
              <w:bottom w:val="single" w:color="auto" w:sz="4" w:space="0"/>
              <w:right w:val="single" w:color="auto" w:sz="4" w:space="0"/>
            </w:tcBorders>
            <w:shd w:val="clear" w:color="000000" w:fill="FFFFFF"/>
            <w:vAlign w:val="center"/>
          </w:tcPr>
          <w:p w14:paraId="749385A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0A10370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信用主题活动综合报道以及深度报道等稿件数是否完成年度计划数。</w:t>
            </w:r>
          </w:p>
          <w:p w14:paraId="1A21512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0CE4EF5C">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信用主题活动综合报道以及深度报道等稿件数6篇以上得满分，否则按比例扣分。</w:t>
            </w:r>
          </w:p>
        </w:tc>
        <w:tc>
          <w:tcPr>
            <w:tcW w:w="277" w:type="pct"/>
            <w:tcBorders>
              <w:top w:val="nil"/>
              <w:left w:val="nil"/>
              <w:bottom w:val="single" w:color="auto" w:sz="4" w:space="0"/>
              <w:right w:val="single" w:color="auto" w:sz="4" w:space="0"/>
            </w:tcBorders>
            <w:shd w:val="clear" w:color="000000" w:fill="FFFFFF"/>
            <w:vAlign w:val="center"/>
          </w:tcPr>
          <w:p w14:paraId="3BC9536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≥6</w:t>
            </w:r>
          </w:p>
        </w:tc>
        <w:tc>
          <w:tcPr>
            <w:tcW w:w="264" w:type="pct"/>
            <w:tcBorders>
              <w:top w:val="nil"/>
              <w:left w:val="nil"/>
              <w:bottom w:val="single" w:color="auto" w:sz="4" w:space="0"/>
              <w:right w:val="single" w:color="auto" w:sz="4" w:space="0"/>
            </w:tcBorders>
            <w:shd w:val="clear" w:color="000000" w:fill="FFFFFF"/>
            <w:vAlign w:val="center"/>
          </w:tcPr>
          <w:p w14:paraId="73BD48C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000000" w:fill="FFFFFF"/>
            <w:vAlign w:val="center"/>
          </w:tcPr>
          <w:p w14:paraId="34AB9B4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000000" w:fill="FFFFFF"/>
            <w:vAlign w:val="center"/>
          </w:tcPr>
          <w:p w14:paraId="673FCAD1">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信用主题活动综合报道以及深度报道等稿件数6篇。</w:t>
            </w:r>
          </w:p>
        </w:tc>
      </w:tr>
      <w:tr w14:paraId="65DF8C9D">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26672C18">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nil"/>
              <w:left w:val="single" w:color="auto" w:sz="4" w:space="0"/>
              <w:bottom w:val="single" w:color="000000" w:sz="4" w:space="0"/>
              <w:right w:val="single" w:color="auto" w:sz="4" w:space="0"/>
            </w:tcBorders>
            <w:shd w:val="clear" w:color="000000" w:fill="FFFFFF"/>
            <w:vAlign w:val="center"/>
          </w:tcPr>
          <w:p w14:paraId="1B684E3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C5粮食和物资管理</w:t>
            </w:r>
          </w:p>
        </w:tc>
        <w:tc>
          <w:tcPr>
            <w:tcW w:w="490" w:type="pct"/>
            <w:tcBorders>
              <w:top w:val="nil"/>
              <w:left w:val="nil"/>
              <w:bottom w:val="single" w:color="auto" w:sz="4" w:space="0"/>
              <w:right w:val="single" w:color="auto" w:sz="4" w:space="0"/>
            </w:tcBorders>
            <w:shd w:val="clear" w:color="000000" w:fill="FFFFFF"/>
            <w:vAlign w:val="center"/>
          </w:tcPr>
          <w:p w14:paraId="2ACCD77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C51开展粮食监督检查次数</w:t>
            </w:r>
          </w:p>
        </w:tc>
        <w:tc>
          <w:tcPr>
            <w:tcW w:w="795" w:type="pct"/>
            <w:tcBorders>
              <w:top w:val="nil"/>
              <w:left w:val="nil"/>
              <w:bottom w:val="single" w:color="auto" w:sz="4" w:space="0"/>
              <w:right w:val="single" w:color="auto" w:sz="4" w:space="0"/>
            </w:tcBorders>
            <w:shd w:val="clear" w:color="000000" w:fill="FFFFFF"/>
            <w:vAlign w:val="center"/>
          </w:tcPr>
          <w:p w14:paraId="272B9244">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考核粮储安全监管工作完成情况</w:t>
            </w:r>
          </w:p>
        </w:tc>
        <w:tc>
          <w:tcPr>
            <w:tcW w:w="1634" w:type="pct"/>
            <w:tcBorders>
              <w:top w:val="nil"/>
              <w:left w:val="nil"/>
              <w:bottom w:val="single" w:color="auto" w:sz="4" w:space="0"/>
              <w:right w:val="single" w:color="auto" w:sz="4" w:space="0"/>
            </w:tcBorders>
            <w:shd w:val="clear" w:color="000000" w:fill="FFFFFF"/>
            <w:vAlign w:val="center"/>
          </w:tcPr>
          <w:p w14:paraId="3E74D0B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03DE88E7">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开展粮储安全监管检查是否完成年度计划数。</w:t>
            </w:r>
          </w:p>
          <w:p w14:paraId="6C620AE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14A01606">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开展粮储安全监管检查8次以上得满分，否则按比例扣分。</w:t>
            </w:r>
          </w:p>
        </w:tc>
        <w:tc>
          <w:tcPr>
            <w:tcW w:w="277" w:type="pct"/>
            <w:tcBorders>
              <w:top w:val="nil"/>
              <w:left w:val="nil"/>
              <w:bottom w:val="single" w:color="auto" w:sz="4" w:space="0"/>
              <w:right w:val="single" w:color="auto" w:sz="4" w:space="0"/>
            </w:tcBorders>
            <w:shd w:val="clear" w:color="000000" w:fill="FFFFFF"/>
            <w:vAlign w:val="center"/>
          </w:tcPr>
          <w:p w14:paraId="3B8F789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≥8次</w:t>
            </w:r>
          </w:p>
        </w:tc>
        <w:tc>
          <w:tcPr>
            <w:tcW w:w="264" w:type="pct"/>
            <w:tcBorders>
              <w:top w:val="nil"/>
              <w:left w:val="nil"/>
              <w:bottom w:val="single" w:color="auto" w:sz="4" w:space="0"/>
              <w:right w:val="single" w:color="auto" w:sz="4" w:space="0"/>
            </w:tcBorders>
            <w:shd w:val="clear" w:color="000000" w:fill="FFFFFF"/>
            <w:vAlign w:val="center"/>
          </w:tcPr>
          <w:p w14:paraId="4B7520F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000000" w:fill="FFFFFF"/>
            <w:vAlign w:val="center"/>
          </w:tcPr>
          <w:p w14:paraId="06A5904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000000" w:fill="FFFFFF"/>
            <w:vAlign w:val="center"/>
          </w:tcPr>
          <w:p w14:paraId="7B944381">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开展粮储安全监管检查8次。</w:t>
            </w:r>
          </w:p>
        </w:tc>
      </w:tr>
      <w:tr w14:paraId="5F6B201E">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004E99A1">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000000" w:sz="4" w:space="0"/>
              <w:right w:val="single" w:color="auto" w:sz="4" w:space="0"/>
            </w:tcBorders>
            <w:vAlign w:val="center"/>
          </w:tcPr>
          <w:p w14:paraId="34ECAEFA">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auto" w:fill="auto"/>
            <w:vAlign w:val="center"/>
          </w:tcPr>
          <w:p w14:paraId="740A84F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C52城镇居民粮油收支调查户数</w:t>
            </w:r>
          </w:p>
        </w:tc>
        <w:tc>
          <w:tcPr>
            <w:tcW w:w="795" w:type="pct"/>
            <w:tcBorders>
              <w:top w:val="nil"/>
              <w:left w:val="nil"/>
              <w:bottom w:val="single" w:color="auto" w:sz="4" w:space="0"/>
              <w:right w:val="single" w:color="auto" w:sz="4" w:space="0"/>
            </w:tcBorders>
            <w:shd w:val="clear" w:color="000000" w:fill="FFFFFF"/>
            <w:vAlign w:val="center"/>
          </w:tcPr>
          <w:p w14:paraId="0C17E6D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考核城乡居民固定调查户粮油收支台账调查情况</w:t>
            </w:r>
          </w:p>
        </w:tc>
        <w:tc>
          <w:tcPr>
            <w:tcW w:w="1634" w:type="pct"/>
            <w:tcBorders>
              <w:top w:val="nil"/>
              <w:left w:val="nil"/>
              <w:bottom w:val="single" w:color="auto" w:sz="4" w:space="0"/>
              <w:right w:val="single" w:color="auto" w:sz="4" w:space="0"/>
            </w:tcBorders>
            <w:shd w:val="clear" w:color="000000" w:fill="FFFFFF"/>
            <w:vAlign w:val="center"/>
          </w:tcPr>
          <w:p w14:paraId="1C73A8C7">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52A4BCF1">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开展城镇居民粮油收支调查是否完成年度计划数。</w:t>
            </w:r>
          </w:p>
          <w:p w14:paraId="29101BC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480FED3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完成城镇居民粮油收支调查年度目标91户得满分，否则按比例扣分</w:t>
            </w:r>
          </w:p>
        </w:tc>
        <w:tc>
          <w:tcPr>
            <w:tcW w:w="277" w:type="pct"/>
            <w:tcBorders>
              <w:top w:val="nil"/>
              <w:left w:val="nil"/>
              <w:bottom w:val="single" w:color="auto" w:sz="4" w:space="0"/>
              <w:right w:val="single" w:color="auto" w:sz="4" w:space="0"/>
            </w:tcBorders>
            <w:shd w:val="clear" w:color="000000" w:fill="FFFFFF"/>
            <w:vAlign w:val="center"/>
          </w:tcPr>
          <w:p w14:paraId="7513ACD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≥91户</w:t>
            </w:r>
          </w:p>
        </w:tc>
        <w:tc>
          <w:tcPr>
            <w:tcW w:w="264" w:type="pct"/>
            <w:tcBorders>
              <w:top w:val="nil"/>
              <w:left w:val="nil"/>
              <w:bottom w:val="single" w:color="auto" w:sz="4" w:space="0"/>
              <w:right w:val="single" w:color="auto" w:sz="4" w:space="0"/>
            </w:tcBorders>
            <w:shd w:val="clear" w:color="000000" w:fill="FFFFFF"/>
            <w:vAlign w:val="center"/>
          </w:tcPr>
          <w:p w14:paraId="0F3EDC9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000000" w:fill="FFFFFF"/>
            <w:vAlign w:val="center"/>
          </w:tcPr>
          <w:p w14:paraId="4853F25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000000" w:fill="FFFFFF"/>
            <w:vAlign w:val="center"/>
          </w:tcPr>
          <w:p w14:paraId="19FD04F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完成城镇居民粮油收支调查194户。</w:t>
            </w:r>
          </w:p>
        </w:tc>
      </w:tr>
      <w:tr w14:paraId="0D1E1F66">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34DBF3D1">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000000" w:sz="4" w:space="0"/>
              <w:right w:val="single" w:color="auto" w:sz="4" w:space="0"/>
            </w:tcBorders>
            <w:vAlign w:val="center"/>
          </w:tcPr>
          <w:p w14:paraId="137C5B6A">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3903A704">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C53粮食宣传活动次数</w:t>
            </w:r>
          </w:p>
        </w:tc>
        <w:tc>
          <w:tcPr>
            <w:tcW w:w="795" w:type="pct"/>
            <w:tcBorders>
              <w:top w:val="nil"/>
              <w:left w:val="nil"/>
              <w:bottom w:val="single" w:color="auto" w:sz="4" w:space="0"/>
              <w:right w:val="single" w:color="auto" w:sz="4" w:space="0"/>
            </w:tcBorders>
            <w:shd w:val="clear" w:color="000000" w:fill="FFFFFF"/>
            <w:vAlign w:val="center"/>
          </w:tcPr>
          <w:p w14:paraId="310EBDC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考核粮食质量安全宣传工作完成情况</w:t>
            </w:r>
          </w:p>
        </w:tc>
        <w:tc>
          <w:tcPr>
            <w:tcW w:w="1634" w:type="pct"/>
            <w:tcBorders>
              <w:top w:val="nil"/>
              <w:left w:val="nil"/>
              <w:bottom w:val="single" w:color="auto" w:sz="4" w:space="0"/>
              <w:right w:val="single" w:color="auto" w:sz="4" w:space="0"/>
            </w:tcBorders>
            <w:shd w:val="clear" w:color="000000" w:fill="FFFFFF"/>
            <w:vAlign w:val="center"/>
          </w:tcPr>
          <w:p w14:paraId="0638BE7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1C76566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开展粮食宣传活动是否完成年度计划数。</w:t>
            </w:r>
          </w:p>
          <w:p w14:paraId="7B1B24E8">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13172CE2">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开展粮食宣传活动2次以上得满分，否则按比例扣分。</w:t>
            </w:r>
          </w:p>
        </w:tc>
        <w:tc>
          <w:tcPr>
            <w:tcW w:w="277" w:type="pct"/>
            <w:tcBorders>
              <w:top w:val="nil"/>
              <w:left w:val="nil"/>
              <w:bottom w:val="single" w:color="auto" w:sz="4" w:space="0"/>
              <w:right w:val="single" w:color="auto" w:sz="4" w:space="0"/>
            </w:tcBorders>
            <w:shd w:val="clear" w:color="000000" w:fill="FFFFFF"/>
            <w:vAlign w:val="center"/>
          </w:tcPr>
          <w:p w14:paraId="06A990C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≥2次</w:t>
            </w:r>
          </w:p>
        </w:tc>
        <w:tc>
          <w:tcPr>
            <w:tcW w:w="264" w:type="pct"/>
            <w:tcBorders>
              <w:top w:val="nil"/>
              <w:left w:val="nil"/>
              <w:bottom w:val="single" w:color="auto" w:sz="4" w:space="0"/>
              <w:right w:val="single" w:color="auto" w:sz="4" w:space="0"/>
            </w:tcBorders>
            <w:shd w:val="clear" w:color="000000" w:fill="FFFFFF"/>
            <w:vAlign w:val="center"/>
          </w:tcPr>
          <w:p w14:paraId="168BAD3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000000" w:fill="FFFFFF"/>
            <w:vAlign w:val="center"/>
          </w:tcPr>
          <w:p w14:paraId="129DBF2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000000" w:fill="FFFFFF"/>
            <w:vAlign w:val="center"/>
          </w:tcPr>
          <w:p w14:paraId="0E2341C2">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开展粮食宣传活动2次</w:t>
            </w:r>
          </w:p>
        </w:tc>
      </w:tr>
      <w:tr w14:paraId="3633458C">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2E5650F2">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nil"/>
              <w:left w:val="single" w:color="auto" w:sz="4" w:space="0"/>
              <w:bottom w:val="single" w:color="000000" w:sz="4" w:space="0"/>
              <w:right w:val="single" w:color="auto" w:sz="4" w:space="0"/>
            </w:tcBorders>
            <w:shd w:val="clear" w:color="000000" w:fill="FFFFFF"/>
            <w:vAlign w:val="center"/>
          </w:tcPr>
          <w:p w14:paraId="1228514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C6推进办日常工作</w:t>
            </w:r>
          </w:p>
        </w:tc>
        <w:tc>
          <w:tcPr>
            <w:tcW w:w="490" w:type="pct"/>
            <w:tcBorders>
              <w:top w:val="nil"/>
              <w:left w:val="nil"/>
              <w:bottom w:val="single" w:color="auto" w:sz="4" w:space="0"/>
              <w:right w:val="single" w:color="auto" w:sz="4" w:space="0"/>
            </w:tcBorders>
            <w:shd w:val="clear" w:color="auto" w:fill="auto"/>
            <w:vAlign w:val="center"/>
          </w:tcPr>
          <w:p w14:paraId="0547E37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C61检查重大项目数量</w:t>
            </w:r>
          </w:p>
        </w:tc>
        <w:tc>
          <w:tcPr>
            <w:tcW w:w="795" w:type="pct"/>
            <w:tcBorders>
              <w:top w:val="nil"/>
              <w:left w:val="nil"/>
              <w:bottom w:val="single" w:color="auto" w:sz="4" w:space="0"/>
              <w:right w:val="single" w:color="auto" w:sz="4" w:space="0"/>
            </w:tcBorders>
            <w:shd w:val="clear" w:color="auto" w:fill="auto"/>
            <w:vAlign w:val="center"/>
          </w:tcPr>
          <w:p w14:paraId="005BF8C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考核开展市重大项目督查工作情况</w:t>
            </w:r>
          </w:p>
        </w:tc>
        <w:tc>
          <w:tcPr>
            <w:tcW w:w="1634" w:type="pct"/>
            <w:tcBorders>
              <w:top w:val="nil"/>
              <w:left w:val="nil"/>
              <w:bottom w:val="single" w:color="auto" w:sz="4" w:space="0"/>
              <w:right w:val="single" w:color="auto" w:sz="4" w:space="0"/>
            </w:tcBorders>
            <w:shd w:val="clear" w:color="auto" w:fill="auto"/>
            <w:vAlign w:val="center"/>
          </w:tcPr>
          <w:p w14:paraId="6A9359E9">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33EEE969">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开展市重大项目督查是否完成年度计划数。</w:t>
            </w:r>
          </w:p>
          <w:p w14:paraId="0340437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4106C65F">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开展市重大项目督查150次以上满分，否则按比例扣分。</w:t>
            </w:r>
          </w:p>
        </w:tc>
        <w:tc>
          <w:tcPr>
            <w:tcW w:w="277" w:type="pct"/>
            <w:tcBorders>
              <w:top w:val="nil"/>
              <w:left w:val="nil"/>
              <w:bottom w:val="single" w:color="auto" w:sz="4" w:space="0"/>
              <w:right w:val="single" w:color="auto" w:sz="4" w:space="0"/>
            </w:tcBorders>
            <w:shd w:val="clear" w:color="auto" w:fill="auto"/>
            <w:vAlign w:val="center"/>
          </w:tcPr>
          <w:p w14:paraId="6086222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≥150</w:t>
            </w:r>
          </w:p>
        </w:tc>
        <w:tc>
          <w:tcPr>
            <w:tcW w:w="264" w:type="pct"/>
            <w:tcBorders>
              <w:top w:val="nil"/>
              <w:left w:val="nil"/>
              <w:bottom w:val="single" w:color="auto" w:sz="4" w:space="0"/>
              <w:right w:val="single" w:color="auto" w:sz="4" w:space="0"/>
            </w:tcBorders>
            <w:shd w:val="clear" w:color="auto" w:fill="auto"/>
            <w:vAlign w:val="center"/>
          </w:tcPr>
          <w:p w14:paraId="327939E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0D389C1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auto" w:fill="auto"/>
            <w:vAlign w:val="center"/>
          </w:tcPr>
          <w:p w14:paraId="777D712D">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开展市重大项目督查177次。</w:t>
            </w:r>
          </w:p>
        </w:tc>
      </w:tr>
      <w:tr w14:paraId="4EF04907">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49E07DE5">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000000" w:sz="4" w:space="0"/>
              <w:right w:val="single" w:color="auto" w:sz="4" w:space="0"/>
            </w:tcBorders>
            <w:vAlign w:val="center"/>
          </w:tcPr>
          <w:p w14:paraId="76FD99D9">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auto" w:fill="auto"/>
            <w:vAlign w:val="center"/>
          </w:tcPr>
          <w:p w14:paraId="0D3992D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C62对各项推进工作进行服务、协调、保障</w:t>
            </w:r>
          </w:p>
        </w:tc>
        <w:tc>
          <w:tcPr>
            <w:tcW w:w="795" w:type="pct"/>
            <w:tcBorders>
              <w:top w:val="nil"/>
              <w:left w:val="nil"/>
              <w:bottom w:val="single" w:color="auto" w:sz="4" w:space="0"/>
              <w:right w:val="single" w:color="auto" w:sz="4" w:space="0"/>
            </w:tcBorders>
            <w:shd w:val="clear" w:color="auto" w:fill="auto"/>
            <w:vAlign w:val="center"/>
          </w:tcPr>
          <w:p w14:paraId="58526EC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考核长江经济带发展、主导产业、重大项目推进工作服务、协调、保障工作开展时效性情况</w:t>
            </w:r>
          </w:p>
        </w:tc>
        <w:tc>
          <w:tcPr>
            <w:tcW w:w="1634" w:type="pct"/>
            <w:tcBorders>
              <w:top w:val="nil"/>
              <w:left w:val="nil"/>
              <w:bottom w:val="single" w:color="auto" w:sz="4" w:space="0"/>
              <w:right w:val="single" w:color="auto" w:sz="4" w:space="0"/>
            </w:tcBorders>
            <w:shd w:val="clear" w:color="auto" w:fill="auto"/>
            <w:vAlign w:val="center"/>
          </w:tcPr>
          <w:p w14:paraId="01DC9CEC">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7D7E906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长江经济带发展、主导产业、重大项目推进工作服务、协调、保障工作按序时任务推进。</w:t>
            </w:r>
          </w:p>
          <w:p w14:paraId="4169052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395E748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序时进度均符合计划要求的得满分，每发现一例延误事项，扣减权重分0.5分，扣完为止</w:t>
            </w:r>
          </w:p>
        </w:tc>
        <w:tc>
          <w:tcPr>
            <w:tcW w:w="277" w:type="pct"/>
            <w:tcBorders>
              <w:top w:val="nil"/>
              <w:left w:val="nil"/>
              <w:bottom w:val="single" w:color="auto" w:sz="4" w:space="0"/>
              <w:right w:val="single" w:color="auto" w:sz="4" w:space="0"/>
            </w:tcBorders>
            <w:shd w:val="clear" w:color="auto" w:fill="auto"/>
            <w:vAlign w:val="center"/>
          </w:tcPr>
          <w:p w14:paraId="18AFCE93">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按时效推进</w:t>
            </w:r>
          </w:p>
        </w:tc>
        <w:tc>
          <w:tcPr>
            <w:tcW w:w="264" w:type="pct"/>
            <w:tcBorders>
              <w:top w:val="nil"/>
              <w:left w:val="nil"/>
              <w:bottom w:val="single" w:color="auto" w:sz="4" w:space="0"/>
              <w:right w:val="single" w:color="auto" w:sz="4" w:space="0"/>
            </w:tcBorders>
            <w:shd w:val="clear" w:color="auto" w:fill="auto"/>
            <w:vAlign w:val="center"/>
          </w:tcPr>
          <w:p w14:paraId="10042B6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4DEF161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auto" w:fill="auto"/>
            <w:vAlign w:val="center"/>
          </w:tcPr>
          <w:p w14:paraId="3D3B7C68">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长江经济带发展、主导产业、重大项目推进工作服务、协调、保障工作按序时推进。</w:t>
            </w:r>
          </w:p>
        </w:tc>
      </w:tr>
      <w:tr w14:paraId="622E1230">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59C64BC3">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000000" w:sz="4" w:space="0"/>
              <w:right w:val="single" w:color="auto" w:sz="4" w:space="0"/>
            </w:tcBorders>
            <w:vAlign w:val="center"/>
          </w:tcPr>
          <w:p w14:paraId="5CDA63CB">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auto" w:fill="auto"/>
            <w:vAlign w:val="center"/>
          </w:tcPr>
          <w:p w14:paraId="79960E0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C63推进都市圈宣传，发布宣传信息条数</w:t>
            </w:r>
          </w:p>
        </w:tc>
        <w:tc>
          <w:tcPr>
            <w:tcW w:w="795" w:type="pct"/>
            <w:tcBorders>
              <w:top w:val="nil"/>
              <w:left w:val="nil"/>
              <w:bottom w:val="single" w:color="auto" w:sz="4" w:space="0"/>
              <w:right w:val="single" w:color="auto" w:sz="4" w:space="0"/>
            </w:tcBorders>
            <w:shd w:val="clear" w:color="auto" w:fill="auto"/>
            <w:vAlign w:val="center"/>
          </w:tcPr>
          <w:p w14:paraId="284E3B4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考核在都市圈推进过程中的宣传工作</w:t>
            </w:r>
          </w:p>
        </w:tc>
        <w:tc>
          <w:tcPr>
            <w:tcW w:w="1634" w:type="pct"/>
            <w:tcBorders>
              <w:top w:val="nil"/>
              <w:left w:val="nil"/>
              <w:bottom w:val="single" w:color="auto" w:sz="4" w:space="0"/>
              <w:right w:val="single" w:color="auto" w:sz="4" w:space="0"/>
            </w:tcBorders>
            <w:shd w:val="clear" w:color="auto" w:fill="auto"/>
            <w:vAlign w:val="center"/>
          </w:tcPr>
          <w:p w14:paraId="7209575F">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0EFC5E0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推进都市圈宣传，发布宣传信息条数是否完成年度计划数。</w:t>
            </w:r>
          </w:p>
          <w:p w14:paraId="45D3914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01C6827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推进都市圈宣传，发布宣传信息条数≥200条得满分，否则按比例扣分</w:t>
            </w:r>
          </w:p>
        </w:tc>
        <w:tc>
          <w:tcPr>
            <w:tcW w:w="277" w:type="pct"/>
            <w:tcBorders>
              <w:top w:val="nil"/>
              <w:left w:val="nil"/>
              <w:bottom w:val="single" w:color="auto" w:sz="4" w:space="0"/>
              <w:right w:val="single" w:color="auto" w:sz="4" w:space="0"/>
            </w:tcBorders>
            <w:shd w:val="clear" w:color="auto" w:fill="auto"/>
            <w:vAlign w:val="center"/>
          </w:tcPr>
          <w:p w14:paraId="3F7458C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≥200条</w:t>
            </w:r>
          </w:p>
        </w:tc>
        <w:tc>
          <w:tcPr>
            <w:tcW w:w="264" w:type="pct"/>
            <w:tcBorders>
              <w:top w:val="nil"/>
              <w:left w:val="nil"/>
              <w:bottom w:val="single" w:color="auto" w:sz="4" w:space="0"/>
              <w:right w:val="single" w:color="auto" w:sz="4" w:space="0"/>
            </w:tcBorders>
            <w:shd w:val="clear" w:color="auto" w:fill="auto"/>
            <w:vAlign w:val="center"/>
          </w:tcPr>
          <w:p w14:paraId="233C576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19F64B9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auto" w:fill="auto"/>
            <w:vAlign w:val="center"/>
          </w:tcPr>
          <w:p w14:paraId="505211E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推进都市圈宣传，发布宣传信息条数346条。</w:t>
            </w:r>
          </w:p>
        </w:tc>
      </w:tr>
      <w:tr w14:paraId="6953BF32">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6C08E465">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single" w:color="auto" w:sz="4" w:space="0"/>
              <w:left w:val="single" w:color="auto" w:sz="4" w:space="0"/>
              <w:bottom w:val="single" w:color="auto" w:sz="4" w:space="0"/>
              <w:right w:val="single" w:color="auto" w:sz="4" w:space="0"/>
            </w:tcBorders>
            <w:vAlign w:val="center"/>
          </w:tcPr>
          <w:p w14:paraId="15B38B2A">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C7“十五五”规划编制</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47D8AF1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C71前期研究课题报告</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2E17885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考核“十五五”规划前期研究课题报告编制情况</w:t>
            </w:r>
          </w:p>
        </w:tc>
        <w:tc>
          <w:tcPr>
            <w:tcW w:w="1634" w:type="pct"/>
            <w:tcBorders>
              <w:top w:val="nil"/>
              <w:left w:val="nil"/>
              <w:bottom w:val="single" w:color="auto" w:sz="4" w:space="0"/>
              <w:right w:val="single" w:color="auto" w:sz="4" w:space="0"/>
            </w:tcBorders>
            <w:shd w:val="clear" w:color="auto" w:fill="auto"/>
            <w:vAlign w:val="center"/>
          </w:tcPr>
          <w:p w14:paraId="78D7C93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评价要点：“十五五”规划前期研究课题报告结题数是否完成年度计划数。</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p>
          <w:p w14:paraId="797FBCF2">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前期研究课题报告结题数≥30篇得满分，否则按未完成比例扣分。</w:t>
            </w:r>
          </w:p>
        </w:tc>
        <w:tc>
          <w:tcPr>
            <w:tcW w:w="277" w:type="pct"/>
            <w:tcBorders>
              <w:top w:val="nil"/>
              <w:left w:val="nil"/>
              <w:bottom w:val="single" w:color="auto" w:sz="4" w:space="0"/>
              <w:right w:val="single" w:color="auto" w:sz="4" w:space="0"/>
            </w:tcBorders>
            <w:shd w:val="clear" w:color="auto" w:fill="auto"/>
            <w:vAlign w:val="center"/>
          </w:tcPr>
          <w:p w14:paraId="272ABB7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30篇</w:t>
            </w:r>
          </w:p>
        </w:tc>
        <w:tc>
          <w:tcPr>
            <w:tcW w:w="264" w:type="pct"/>
            <w:tcBorders>
              <w:top w:val="nil"/>
              <w:left w:val="nil"/>
              <w:bottom w:val="single" w:color="auto" w:sz="4" w:space="0"/>
              <w:right w:val="single" w:color="auto" w:sz="4" w:space="0"/>
            </w:tcBorders>
            <w:shd w:val="clear" w:color="auto" w:fill="auto"/>
            <w:vAlign w:val="center"/>
          </w:tcPr>
          <w:p w14:paraId="56AB4CF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317EC64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1.06</w:t>
            </w:r>
          </w:p>
        </w:tc>
        <w:tc>
          <w:tcPr>
            <w:tcW w:w="691" w:type="pct"/>
            <w:tcBorders>
              <w:top w:val="nil"/>
              <w:left w:val="nil"/>
              <w:bottom w:val="single" w:color="auto" w:sz="4" w:space="0"/>
              <w:right w:val="single" w:color="auto" w:sz="4" w:space="0"/>
            </w:tcBorders>
            <w:shd w:val="clear" w:color="auto" w:fill="auto"/>
            <w:vAlign w:val="center"/>
          </w:tcPr>
          <w:p w14:paraId="4EBF296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kern w:val="0"/>
                <w:sz w:val="22"/>
              </w:rPr>
              <w:t>结题16篇前期研究课题报</w:t>
            </w:r>
            <w:r>
              <w:rPr>
                <w:rFonts w:ascii="Times New Roman" w:hAnsi="Times New Roman" w:eastAsia="方正楷体_GBK" w:cs="Times New Roman"/>
                <w:color w:val="000000"/>
                <w:kern w:val="0"/>
                <w:sz w:val="22"/>
              </w:rPr>
              <w:t>告。按照评分标准，扣0.94分。</w:t>
            </w:r>
          </w:p>
        </w:tc>
      </w:tr>
      <w:tr w14:paraId="3C010BFD">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484CB480">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single" w:color="auto" w:sz="4" w:space="0"/>
              <w:left w:val="single" w:color="auto" w:sz="4" w:space="0"/>
              <w:bottom w:val="single" w:color="auto" w:sz="4" w:space="0"/>
              <w:right w:val="single" w:color="auto" w:sz="4" w:space="0"/>
            </w:tcBorders>
            <w:vAlign w:val="center"/>
          </w:tcPr>
          <w:p w14:paraId="48BE76AA">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06FB8E7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C72市级以上刊物刊发</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83F4A9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考核“十五五”规划相关成果在市级以上刊物刊发情况</w:t>
            </w:r>
          </w:p>
        </w:tc>
        <w:tc>
          <w:tcPr>
            <w:tcW w:w="1634" w:type="pct"/>
            <w:tcBorders>
              <w:top w:val="nil"/>
              <w:left w:val="nil"/>
              <w:bottom w:val="single" w:color="auto" w:sz="4" w:space="0"/>
              <w:right w:val="single" w:color="auto" w:sz="4" w:space="0"/>
            </w:tcBorders>
            <w:shd w:val="clear" w:color="auto" w:fill="auto"/>
            <w:vAlign w:val="center"/>
          </w:tcPr>
          <w:p w14:paraId="57B870E7">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2F9EB6B7">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市级以上刊物刊发是否完成年度计划数。</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p>
          <w:p w14:paraId="2650637A">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市级以上刊物刊发≥5篇得满分，否则按未完成比例扣分。</w:t>
            </w:r>
          </w:p>
        </w:tc>
        <w:tc>
          <w:tcPr>
            <w:tcW w:w="277" w:type="pct"/>
            <w:tcBorders>
              <w:top w:val="nil"/>
              <w:left w:val="nil"/>
              <w:bottom w:val="single" w:color="auto" w:sz="4" w:space="0"/>
              <w:right w:val="single" w:color="auto" w:sz="4" w:space="0"/>
            </w:tcBorders>
            <w:shd w:val="clear" w:color="auto" w:fill="auto"/>
            <w:vAlign w:val="center"/>
          </w:tcPr>
          <w:p w14:paraId="055CD73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5篇</w:t>
            </w:r>
          </w:p>
        </w:tc>
        <w:tc>
          <w:tcPr>
            <w:tcW w:w="264" w:type="pct"/>
            <w:tcBorders>
              <w:top w:val="nil"/>
              <w:left w:val="nil"/>
              <w:bottom w:val="single" w:color="auto" w:sz="4" w:space="0"/>
              <w:right w:val="single" w:color="auto" w:sz="4" w:space="0"/>
            </w:tcBorders>
            <w:shd w:val="clear" w:color="auto" w:fill="auto"/>
            <w:vAlign w:val="center"/>
          </w:tcPr>
          <w:p w14:paraId="6222860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260" w:type="pct"/>
            <w:tcBorders>
              <w:top w:val="nil"/>
              <w:left w:val="nil"/>
              <w:bottom w:val="single" w:color="auto" w:sz="4" w:space="0"/>
              <w:right w:val="single" w:color="auto" w:sz="4" w:space="0"/>
            </w:tcBorders>
            <w:shd w:val="clear" w:color="auto" w:fill="auto"/>
            <w:vAlign w:val="center"/>
          </w:tcPr>
          <w:p w14:paraId="65D0DFFB">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2</w:t>
            </w:r>
          </w:p>
        </w:tc>
        <w:tc>
          <w:tcPr>
            <w:tcW w:w="691" w:type="pct"/>
            <w:tcBorders>
              <w:top w:val="nil"/>
              <w:left w:val="nil"/>
              <w:bottom w:val="single" w:color="auto" w:sz="4" w:space="0"/>
              <w:right w:val="single" w:color="auto" w:sz="4" w:space="0"/>
            </w:tcBorders>
            <w:shd w:val="clear" w:color="auto" w:fill="auto"/>
            <w:vAlign w:val="center"/>
          </w:tcPr>
          <w:p w14:paraId="39EC7618">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市级以上刊物刊发16篇。</w:t>
            </w:r>
          </w:p>
        </w:tc>
      </w:tr>
      <w:tr w14:paraId="3D52AC56">
        <w:tblPrEx>
          <w:tblCellMar>
            <w:top w:w="0" w:type="dxa"/>
            <w:left w:w="108" w:type="dxa"/>
            <w:bottom w:w="0" w:type="dxa"/>
            <w:right w:w="108" w:type="dxa"/>
          </w:tblCellMar>
        </w:tblPrEx>
        <w:trPr>
          <w:trHeight w:val="23" w:hRule="atLeast"/>
        </w:trPr>
        <w:tc>
          <w:tcPr>
            <w:tcW w:w="263" w:type="pct"/>
            <w:vMerge w:val="restart"/>
            <w:tcBorders>
              <w:top w:val="nil"/>
              <w:left w:val="single" w:color="auto" w:sz="4" w:space="0"/>
              <w:right w:val="single" w:color="auto" w:sz="4" w:space="0"/>
            </w:tcBorders>
            <w:shd w:val="clear" w:color="000000" w:fill="FFFFFF"/>
            <w:vAlign w:val="center"/>
          </w:tcPr>
          <w:p w14:paraId="246CF34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D效益</w:t>
            </w:r>
          </w:p>
        </w:tc>
        <w:tc>
          <w:tcPr>
            <w:tcW w:w="321" w:type="pct"/>
            <w:tcBorders>
              <w:top w:val="single" w:color="auto" w:sz="4" w:space="0"/>
              <w:left w:val="nil"/>
              <w:bottom w:val="nil"/>
              <w:right w:val="single" w:color="auto" w:sz="4" w:space="0"/>
            </w:tcBorders>
            <w:shd w:val="clear" w:color="auto" w:fill="auto"/>
            <w:vAlign w:val="center"/>
          </w:tcPr>
          <w:p w14:paraId="73630D1D">
            <w:pPr>
              <w:widowControl/>
              <w:spacing w:line="240" w:lineRule="auto"/>
              <w:ind w:firstLine="0" w:firstLineChars="0"/>
              <w:jc w:val="center"/>
              <w:rPr>
                <w:rFonts w:ascii="Times New Roman" w:hAnsi="Times New Roman" w:eastAsia="方正楷体_GBK" w:cs="Times New Roman"/>
                <w:kern w:val="0"/>
                <w:sz w:val="22"/>
              </w:rPr>
            </w:pPr>
            <w:r>
              <w:rPr>
                <w:rFonts w:ascii="Times New Roman" w:hAnsi="Times New Roman" w:eastAsia="方正楷体_GBK" w:cs="Times New Roman"/>
                <w:kern w:val="0"/>
                <w:sz w:val="22"/>
              </w:rPr>
              <w:t>D1经济效益</w:t>
            </w:r>
          </w:p>
        </w:tc>
        <w:tc>
          <w:tcPr>
            <w:tcW w:w="490" w:type="pct"/>
            <w:tcBorders>
              <w:top w:val="single" w:color="auto" w:sz="4" w:space="0"/>
              <w:left w:val="nil"/>
              <w:bottom w:val="single" w:color="auto" w:sz="4" w:space="0"/>
              <w:right w:val="single" w:color="auto" w:sz="4" w:space="0"/>
            </w:tcBorders>
            <w:shd w:val="clear" w:color="auto" w:fill="auto"/>
            <w:vAlign w:val="center"/>
          </w:tcPr>
          <w:p w14:paraId="34BBF91C">
            <w:pPr>
              <w:widowControl/>
              <w:spacing w:line="240" w:lineRule="auto"/>
              <w:ind w:firstLine="0" w:firstLineChars="0"/>
              <w:jc w:val="center"/>
              <w:rPr>
                <w:rFonts w:ascii="Times New Roman" w:hAnsi="Times New Roman" w:eastAsia="方正楷体_GBK" w:cs="Times New Roman"/>
                <w:kern w:val="0"/>
                <w:sz w:val="22"/>
              </w:rPr>
            </w:pPr>
            <w:r>
              <w:rPr>
                <w:rFonts w:ascii="Times New Roman" w:hAnsi="Times New Roman" w:eastAsia="方正楷体_GBK" w:cs="Times New Roman"/>
                <w:kern w:val="0"/>
                <w:sz w:val="22"/>
              </w:rPr>
              <w:t>D11经济监测是否全面，监测数据的参考价值</w:t>
            </w:r>
          </w:p>
        </w:tc>
        <w:tc>
          <w:tcPr>
            <w:tcW w:w="795" w:type="pct"/>
            <w:tcBorders>
              <w:top w:val="single" w:color="auto" w:sz="4" w:space="0"/>
              <w:left w:val="nil"/>
              <w:bottom w:val="single" w:color="auto" w:sz="4" w:space="0"/>
              <w:right w:val="single" w:color="auto" w:sz="4" w:space="0"/>
            </w:tcBorders>
            <w:shd w:val="clear" w:color="auto" w:fill="auto"/>
            <w:vAlign w:val="center"/>
          </w:tcPr>
          <w:p w14:paraId="54FE383C">
            <w:pPr>
              <w:widowControl/>
              <w:spacing w:line="240" w:lineRule="auto"/>
              <w:ind w:firstLine="0" w:firstLineChars="0"/>
              <w:jc w:val="center"/>
              <w:rPr>
                <w:rFonts w:ascii="Times New Roman" w:hAnsi="Times New Roman" w:eastAsia="方正楷体_GBK" w:cs="Times New Roman"/>
                <w:kern w:val="0"/>
                <w:sz w:val="22"/>
              </w:rPr>
            </w:pPr>
            <w:r>
              <w:rPr>
                <w:rFonts w:ascii="Times New Roman" w:hAnsi="Times New Roman" w:eastAsia="方正楷体_GBK" w:cs="Times New Roman"/>
                <w:kern w:val="0"/>
                <w:sz w:val="22"/>
              </w:rPr>
              <w:t>经济监测是否全面，监测数据的参考价值是否显著</w:t>
            </w:r>
          </w:p>
        </w:tc>
        <w:tc>
          <w:tcPr>
            <w:tcW w:w="1634" w:type="pct"/>
            <w:tcBorders>
              <w:top w:val="nil"/>
              <w:left w:val="nil"/>
              <w:bottom w:val="single" w:color="auto" w:sz="4" w:space="0"/>
              <w:right w:val="single" w:color="auto" w:sz="4" w:space="0"/>
            </w:tcBorders>
            <w:shd w:val="clear" w:color="auto" w:fill="auto"/>
            <w:vAlign w:val="center"/>
          </w:tcPr>
          <w:p w14:paraId="46F2FAD8">
            <w:pPr>
              <w:widowControl/>
              <w:spacing w:line="240" w:lineRule="auto"/>
              <w:ind w:firstLine="0" w:firstLineChars="0"/>
              <w:jc w:val="left"/>
              <w:rPr>
                <w:rFonts w:ascii="Times New Roman" w:hAnsi="Times New Roman" w:eastAsia="方正楷体_GBK" w:cs="Times New Roman"/>
                <w:kern w:val="0"/>
                <w:sz w:val="22"/>
              </w:rPr>
            </w:pPr>
            <w:r>
              <w:rPr>
                <w:rFonts w:ascii="Times New Roman" w:hAnsi="Times New Roman" w:eastAsia="方正楷体_GBK" w:cs="Times New Roman"/>
                <w:kern w:val="0"/>
                <w:sz w:val="22"/>
              </w:rPr>
              <w:t>评价要点：</w:t>
            </w:r>
          </w:p>
          <w:p w14:paraId="004C86F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kern w:val="0"/>
                <w:sz w:val="22"/>
              </w:rPr>
              <w:t>经济监测是否全面，监测数据是否具体显著的参考价值。</w:t>
            </w:r>
            <w:r>
              <w:rPr>
                <w:rFonts w:ascii="Times New Roman" w:hAnsi="Times New Roman" w:eastAsia="方正楷体_GBK" w:cs="Times New Roman"/>
                <w:kern w:val="0"/>
                <w:sz w:val="22"/>
              </w:rPr>
              <w:br w:type="textWrapping"/>
            </w:r>
            <w:r>
              <w:rPr>
                <w:rFonts w:ascii="Times New Roman" w:hAnsi="Times New Roman" w:eastAsia="方正楷体_GBK" w:cs="Times New Roman"/>
                <w:color w:val="000000"/>
                <w:kern w:val="0"/>
                <w:sz w:val="22"/>
              </w:rPr>
              <w:t>评分规则：</w:t>
            </w:r>
          </w:p>
          <w:p w14:paraId="4CF22031">
            <w:pPr>
              <w:widowControl/>
              <w:spacing w:line="240" w:lineRule="auto"/>
              <w:ind w:firstLine="0" w:firstLineChars="0"/>
              <w:jc w:val="left"/>
              <w:rPr>
                <w:rFonts w:ascii="Times New Roman" w:hAnsi="Times New Roman" w:eastAsia="方正楷体_GBK" w:cs="Times New Roman"/>
                <w:kern w:val="0"/>
                <w:sz w:val="22"/>
              </w:rPr>
            </w:pPr>
            <w:r>
              <w:rPr>
                <w:rFonts w:ascii="Times New Roman" w:hAnsi="Times New Roman" w:eastAsia="方正楷体_GBK" w:cs="Times New Roman"/>
                <w:kern w:val="0"/>
                <w:sz w:val="22"/>
              </w:rPr>
              <w:t>考核履职带来的经济效益，采用定性评级的方法，评级为“全面具参考价值”得满分，评级为“较全面具参考”，得权重分的60%，评级为 “不全面缺乏参考价值”不得分。</w:t>
            </w:r>
          </w:p>
        </w:tc>
        <w:tc>
          <w:tcPr>
            <w:tcW w:w="277" w:type="pct"/>
            <w:tcBorders>
              <w:top w:val="nil"/>
              <w:left w:val="nil"/>
              <w:bottom w:val="single" w:color="auto" w:sz="4" w:space="0"/>
              <w:right w:val="single" w:color="auto" w:sz="4" w:space="0"/>
            </w:tcBorders>
            <w:shd w:val="clear" w:color="auto" w:fill="auto"/>
            <w:vAlign w:val="center"/>
          </w:tcPr>
          <w:p w14:paraId="227CB36C">
            <w:pPr>
              <w:widowControl/>
              <w:spacing w:line="240" w:lineRule="auto"/>
              <w:ind w:firstLine="0" w:firstLineChars="0"/>
              <w:jc w:val="center"/>
              <w:rPr>
                <w:rFonts w:ascii="Times New Roman" w:hAnsi="Times New Roman" w:eastAsia="方正楷体_GBK" w:cs="Times New Roman"/>
                <w:kern w:val="0"/>
                <w:sz w:val="22"/>
              </w:rPr>
            </w:pPr>
            <w:r>
              <w:rPr>
                <w:rFonts w:ascii="Times New Roman" w:hAnsi="Times New Roman" w:eastAsia="方正楷体_GBK" w:cs="Times New Roman"/>
                <w:kern w:val="0"/>
                <w:sz w:val="22"/>
              </w:rPr>
              <w:t>全面、具有参考价值</w:t>
            </w:r>
          </w:p>
        </w:tc>
        <w:tc>
          <w:tcPr>
            <w:tcW w:w="264" w:type="pct"/>
            <w:tcBorders>
              <w:top w:val="nil"/>
              <w:left w:val="nil"/>
              <w:bottom w:val="single" w:color="auto" w:sz="4" w:space="0"/>
              <w:right w:val="single" w:color="auto" w:sz="4" w:space="0"/>
            </w:tcBorders>
            <w:shd w:val="clear" w:color="auto" w:fill="auto"/>
            <w:vAlign w:val="center"/>
          </w:tcPr>
          <w:p w14:paraId="7D9FD83E">
            <w:pPr>
              <w:widowControl/>
              <w:spacing w:line="240" w:lineRule="auto"/>
              <w:ind w:firstLine="0" w:firstLineChars="0"/>
              <w:jc w:val="center"/>
              <w:rPr>
                <w:rFonts w:ascii="Times New Roman" w:hAnsi="Times New Roman" w:eastAsia="方正楷体_GBK" w:cs="Times New Roman"/>
                <w:kern w:val="0"/>
                <w:sz w:val="22"/>
              </w:rPr>
            </w:pPr>
            <w:r>
              <w:rPr>
                <w:rFonts w:ascii="Times New Roman" w:hAnsi="Times New Roman" w:eastAsia="方正楷体_GBK" w:cs="Times New Roman"/>
                <w:kern w:val="0"/>
                <w:sz w:val="22"/>
              </w:rPr>
              <w:t>4</w:t>
            </w:r>
          </w:p>
        </w:tc>
        <w:tc>
          <w:tcPr>
            <w:tcW w:w="260" w:type="pct"/>
            <w:tcBorders>
              <w:top w:val="nil"/>
              <w:left w:val="nil"/>
              <w:bottom w:val="single" w:color="auto" w:sz="4" w:space="0"/>
              <w:right w:val="single" w:color="auto" w:sz="4" w:space="0"/>
            </w:tcBorders>
            <w:shd w:val="clear" w:color="auto" w:fill="auto"/>
            <w:vAlign w:val="center"/>
          </w:tcPr>
          <w:p w14:paraId="2918A559">
            <w:pPr>
              <w:widowControl/>
              <w:spacing w:line="240" w:lineRule="auto"/>
              <w:ind w:firstLine="0" w:firstLineChars="0"/>
              <w:jc w:val="center"/>
              <w:rPr>
                <w:rFonts w:ascii="Times New Roman" w:hAnsi="Times New Roman" w:eastAsia="方正楷体_GBK" w:cs="Times New Roman"/>
                <w:kern w:val="0"/>
                <w:sz w:val="22"/>
              </w:rPr>
            </w:pPr>
            <w:r>
              <w:rPr>
                <w:rFonts w:ascii="Times New Roman" w:hAnsi="Times New Roman" w:eastAsia="方正楷体_GBK" w:cs="Times New Roman"/>
                <w:kern w:val="0"/>
                <w:sz w:val="22"/>
              </w:rPr>
              <w:t>4</w:t>
            </w:r>
          </w:p>
        </w:tc>
        <w:tc>
          <w:tcPr>
            <w:tcW w:w="691" w:type="pct"/>
            <w:tcBorders>
              <w:top w:val="nil"/>
              <w:left w:val="nil"/>
              <w:bottom w:val="single" w:color="auto" w:sz="4" w:space="0"/>
              <w:right w:val="single" w:color="auto" w:sz="4" w:space="0"/>
            </w:tcBorders>
            <w:shd w:val="clear" w:color="auto" w:fill="auto"/>
            <w:vAlign w:val="center"/>
          </w:tcPr>
          <w:p w14:paraId="6406B1D8">
            <w:pPr>
              <w:widowControl/>
              <w:spacing w:line="240" w:lineRule="auto"/>
              <w:ind w:firstLine="0" w:firstLineChars="0"/>
              <w:jc w:val="left"/>
              <w:rPr>
                <w:rFonts w:ascii="Times New Roman" w:hAnsi="Times New Roman" w:eastAsia="方正楷体_GBK" w:cs="Times New Roman"/>
                <w:kern w:val="0"/>
                <w:sz w:val="22"/>
              </w:rPr>
            </w:pPr>
            <w:r>
              <w:rPr>
                <w:rFonts w:ascii="Times New Roman" w:hAnsi="Times New Roman" w:eastAsia="方正楷体_GBK" w:cs="Times New Roman"/>
                <w:kern w:val="0"/>
                <w:sz w:val="22"/>
              </w:rPr>
              <w:t>经济监测全面，监测数据的参考价值。</w:t>
            </w:r>
          </w:p>
        </w:tc>
      </w:tr>
      <w:tr w14:paraId="6C23FC31">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056E8553">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single" w:color="auto" w:sz="4" w:space="0"/>
              <w:left w:val="nil"/>
              <w:right w:val="single" w:color="auto" w:sz="4" w:space="0"/>
            </w:tcBorders>
            <w:shd w:val="clear" w:color="000000" w:fill="FFFFFF"/>
            <w:vAlign w:val="center"/>
          </w:tcPr>
          <w:p w14:paraId="08C4A9E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D2社会效益</w:t>
            </w:r>
          </w:p>
        </w:tc>
        <w:tc>
          <w:tcPr>
            <w:tcW w:w="490" w:type="pct"/>
            <w:tcBorders>
              <w:top w:val="nil"/>
              <w:left w:val="nil"/>
              <w:bottom w:val="single" w:color="auto" w:sz="4" w:space="0"/>
              <w:right w:val="single" w:color="auto" w:sz="4" w:space="0"/>
            </w:tcBorders>
            <w:shd w:val="clear" w:color="auto" w:fill="auto"/>
            <w:vAlign w:val="center"/>
          </w:tcPr>
          <w:p w14:paraId="5C422B2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D21粮食质量安全</w:t>
            </w:r>
          </w:p>
        </w:tc>
        <w:tc>
          <w:tcPr>
            <w:tcW w:w="795" w:type="pct"/>
            <w:tcBorders>
              <w:top w:val="nil"/>
              <w:left w:val="nil"/>
              <w:bottom w:val="single" w:color="auto" w:sz="4" w:space="0"/>
              <w:right w:val="single" w:color="auto" w:sz="4" w:space="0"/>
            </w:tcBorders>
            <w:shd w:val="clear" w:color="auto" w:fill="auto"/>
            <w:vAlign w:val="center"/>
          </w:tcPr>
          <w:p w14:paraId="4A4FB3C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考察确保粮食质量安全工作情况</w:t>
            </w:r>
          </w:p>
        </w:tc>
        <w:tc>
          <w:tcPr>
            <w:tcW w:w="1634" w:type="pct"/>
            <w:tcBorders>
              <w:top w:val="nil"/>
              <w:left w:val="nil"/>
              <w:bottom w:val="single" w:color="auto" w:sz="4" w:space="0"/>
              <w:right w:val="single" w:color="auto" w:sz="4" w:space="0"/>
            </w:tcBorders>
            <w:shd w:val="clear" w:color="auto" w:fill="auto"/>
            <w:vAlign w:val="center"/>
          </w:tcPr>
          <w:p w14:paraId="144F4EAA">
            <w:pPr>
              <w:widowControl/>
              <w:spacing w:line="240" w:lineRule="auto"/>
              <w:ind w:firstLine="0" w:firstLineChars="0"/>
              <w:jc w:val="left"/>
              <w:rPr>
                <w:rFonts w:ascii="Times New Roman" w:hAnsi="Times New Roman" w:eastAsia="方正楷体_GBK" w:cs="Times New Roman"/>
                <w:kern w:val="0"/>
                <w:sz w:val="22"/>
              </w:rPr>
            </w:pPr>
            <w:r>
              <w:rPr>
                <w:rFonts w:ascii="Times New Roman" w:hAnsi="Times New Roman" w:eastAsia="方正楷体_GBK" w:cs="Times New Roman"/>
                <w:kern w:val="0"/>
                <w:sz w:val="22"/>
              </w:rPr>
              <w:t>评价要点：</w:t>
            </w:r>
          </w:p>
          <w:p w14:paraId="7DDE6B7D">
            <w:pPr>
              <w:widowControl/>
              <w:spacing w:line="240" w:lineRule="auto"/>
              <w:ind w:firstLine="0" w:firstLineChars="0"/>
              <w:jc w:val="left"/>
              <w:rPr>
                <w:rFonts w:ascii="Times New Roman" w:hAnsi="Times New Roman" w:eastAsia="方正楷体_GBK" w:cs="Times New Roman"/>
                <w:kern w:val="0"/>
                <w:sz w:val="22"/>
              </w:rPr>
            </w:pPr>
            <w:r>
              <w:rPr>
                <w:rFonts w:ascii="Times New Roman" w:hAnsi="Times New Roman" w:eastAsia="方正楷体_GBK" w:cs="Times New Roman"/>
                <w:kern w:val="0"/>
                <w:sz w:val="22"/>
              </w:rPr>
              <w:t>未发生不合格粮食不流入口粮市场的情形。</w:t>
            </w:r>
          </w:p>
          <w:p w14:paraId="37D951F9">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2A510A6F">
            <w:pPr>
              <w:widowControl/>
              <w:spacing w:line="240" w:lineRule="auto"/>
              <w:ind w:firstLine="0" w:firstLineChars="0"/>
              <w:jc w:val="left"/>
              <w:rPr>
                <w:rFonts w:ascii="Times New Roman" w:hAnsi="Times New Roman" w:eastAsia="方正楷体_GBK" w:cs="Times New Roman"/>
                <w:kern w:val="0"/>
                <w:sz w:val="22"/>
              </w:rPr>
            </w:pPr>
            <w:r>
              <w:rPr>
                <w:rFonts w:ascii="Times New Roman" w:hAnsi="Times New Roman" w:eastAsia="方正楷体_GBK" w:cs="Times New Roman"/>
                <w:kern w:val="0"/>
                <w:sz w:val="22"/>
              </w:rPr>
              <w:t>未发生不合格粮食不流入口粮市场得满分，发生粮食安全事件不得分。</w:t>
            </w:r>
          </w:p>
        </w:tc>
        <w:tc>
          <w:tcPr>
            <w:tcW w:w="277" w:type="pct"/>
            <w:tcBorders>
              <w:top w:val="nil"/>
              <w:left w:val="nil"/>
              <w:bottom w:val="single" w:color="auto" w:sz="4" w:space="0"/>
              <w:right w:val="single" w:color="auto" w:sz="4" w:space="0"/>
            </w:tcBorders>
            <w:shd w:val="clear" w:color="auto" w:fill="auto"/>
            <w:vAlign w:val="center"/>
          </w:tcPr>
          <w:p w14:paraId="2BA741C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安全</w:t>
            </w:r>
          </w:p>
        </w:tc>
        <w:tc>
          <w:tcPr>
            <w:tcW w:w="264" w:type="pct"/>
            <w:tcBorders>
              <w:top w:val="nil"/>
              <w:left w:val="nil"/>
              <w:bottom w:val="single" w:color="auto" w:sz="4" w:space="0"/>
              <w:right w:val="single" w:color="auto" w:sz="4" w:space="0"/>
            </w:tcBorders>
            <w:shd w:val="clear" w:color="auto" w:fill="auto"/>
            <w:vAlign w:val="center"/>
          </w:tcPr>
          <w:p w14:paraId="626D353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4</w:t>
            </w:r>
          </w:p>
        </w:tc>
        <w:tc>
          <w:tcPr>
            <w:tcW w:w="260" w:type="pct"/>
            <w:tcBorders>
              <w:top w:val="nil"/>
              <w:left w:val="nil"/>
              <w:bottom w:val="single" w:color="auto" w:sz="4" w:space="0"/>
              <w:right w:val="single" w:color="auto" w:sz="4" w:space="0"/>
            </w:tcBorders>
            <w:shd w:val="clear" w:color="auto" w:fill="auto"/>
            <w:vAlign w:val="center"/>
          </w:tcPr>
          <w:p w14:paraId="2439ABD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4</w:t>
            </w:r>
          </w:p>
        </w:tc>
        <w:tc>
          <w:tcPr>
            <w:tcW w:w="691" w:type="pct"/>
            <w:tcBorders>
              <w:top w:val="nil"/>
              <w:left w:val="nil"/>
              <w:bottom w:val="single" w:color="auto" w:sz="4" w:space="0"/>
              <w:right w:val="single" w:color="auto" w:sz="4" w:space="0"/>
            </w:tcBorders>
            <w:shd w:val="clear" w:color="auto" w:fill="auto"/>
            <w:vAlign w:val="center"/>
          </w:tcPr>
          <w:p w14:paraId="34FF463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kern w:val="0"/>
                <w:sz w:val="22"/>
              </w:rPr>
              <w:t>无不合格粮食不流入口粮市场。</w:t>
            </w:r>
          </w:p>
        </w:tc>
      </w:tr>
      <w:tr w14:paraId="296E7F78">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7BD8CBC0">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left w:val="nil"/>
              <w:bottom w:val="nil"/>
              <w:right w:val="single" w:color="auto" w:sz="4" w:space="0"/>
            </w:tcBorders>
            <w:shd w:val="clear" w:color="000000" w:fill="FFFFFF"/>
            <w:vAlign w:val="center"/>
          </w:tcPr>
          <w:p w14:paraId="4FF3CEA9">
            <w:pPr>
              <w:widowControl/>
              <w:spacing w:line="240" w:lineRule="auto"/>
              <w:ind w:firstLine="0" w:firstLineChars="0"/>
              <w:jc w:val="center"/>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auto" w:fill="auto"/>
            <w:vAlign w:val="center"/>
          </w:tcPr>
          <w:p w14:paraId="07FC3D5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D22制定规划、政策是否符合经济社会发展要求，是否得到上级部门认可</w:t>
            </w:r>
          </w:p>
        </w:tc>
        <w:tc>
          <w:tcPr>
            <w:tcW w:w="795" w:type="pct"/>
            <w:tcBorders>
              <w:top w:val="nil"/>
              <w:left w:val="nil"/>
              <w:bottom w:val="single" w:color="auto" w:sz="4" w:space="0"/>
              <w:right w:val="single" w:color="auto" w:sz="4" w:space="0"/>
            </w:tcBorders>
            <w:shd w:val="clear" w:color="auto" w:fill="auto"/>
            <w:vAlign w:val="center"/>
          </w:tcPr>
          <w:p w14:paraId="5EEF41A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制定规划、政策是否符合经济社会发展要求，是否得到上级部门认可</w:t>
            </w:r>
          </w:p>
        </w:tc>
        <w:tc>
          <w:tcPr>
            <w:tcW w:w="1634" w:type="pct"/>
            <w:tcBorders>
              <w:top w:val="nil"/>
              <w:left w:val="nil"/>
              <w:bottom w:val="single" w:color="auto" w:sz="4" w:space="0"/>
              <w:right w:val="single" w:color="auto" w:sz="4" w:space="0"/>
            </w:tcBorders>
            <w:shd w:val="clear" w:color="auto" w:fill="auto"/>
            <w:vAlign w:val="center"/>
          </w:tcPr>
          <w:p w14:paraId="2514B431">
            <w:pPr>
              <w:widowControl/>
              <w:spacing w:line="240" w:lineRule="auto"/>
              <w:ind w:firstLine="0" w:firstLineChars="0"/>
              <w:jc w:val="left"/>
              <w:rPr>
                <w:rFonts w:ascii="Times New Roman" w:hAnsi="Times New Roman" w:eastAsia="方正楷体_GBK" w:cs="Times New Roman"/>
                <w:kern w:val="0"/>
                <w:sz w:val="22"/>
              </w:rPr>
            </w:pPr>
            <w:r>
              <w:rPr>
                <w:rFonts w:ascii="Times New Roman" w:hAnsi="Times New Roman" w:eastAsia="方正楷体_GBK" w:cs="Times New Roman"/>
                <w:kern w:val="0"/>
                <w:sz w:val="22"/>
              </w:rPr>
              <w:t>评价要点：</w:t>
            </w:r>
          </w:p>
          <w:p w14:paraId="74975A1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制定规划、政策是否符合经济社会发展要求，是否得到上级部门认可。</w:t>
            </w:r>
            <w:r>
              <w:rPr>
                <w:rFonts w:ascii="Times New Roman" w:hAnsi="Times New Roman" w:eastAsia="方正楷体_GBK" w:cs="Times New Roman"/>
                <w:kern w:val="0"/>
                <w:sz w:val="22"/>
              </w:rPr>
              <w:br w:type="textWrapping"/>
            </w:r>
            <w:r>
              <w:rPr>
                <w:rFonts w:ascii="Times New Roman" w:hAnsi="Times New Roman" w:eastAsia="方正楷体_GBK" w:cs="Times New Roman"/>
                <w:color w:val="000000"/>
                <w:kern w:val="0"/>
                <w:sz w:val="22"/>
              </w:rPr>
              <w:t>评分规则：</w:t>
            </w:r>
          </w:p>
          <w:p w14:paraId="37B97B3E">
            <w:pPr>
              <w:widowControl/>
              <w:spacing w:line="240" w:lineRule="auto"/>
              <w:ind w:firstLine="0" w:firstLineChars="0"/>
              <w:jc w:val="left"/>
              <w:rPr>
                <w:rFonts w:ascii="Times New Roman" w:hAnsi="Times New Roman" w:eastAsia="方正楷体_GBK" w:cs="Times New Roman"/>
                <w:kern w:val="0"/>
                <w:sz w:val="22"/>
              </w:rPr>
            </w:pPr>
            <w:r>
              <w:rPr>
                <w:rFonts w:ascii="Times New Roman" w:hAnsi="Times New Roman" w:eastAsia="方正楷体_GBK" w:cs="Times New Roman"/>
                <w:kern w:val="0"/>
                <w:sz w:val="22"/>
              </w:rPr>
              <w:t>制定规划、政策符合经济社会发展要求，得到上级部门认可得满分，否则不得分。</w:t>
            </w:r>
          </w:p>
        </w:tc>
        <w:tc>
          <w:tcPr>
            <w:tcW w:w="277" w:type="pct"/>
            <w:tcBorders>
              <w:top w:val="nil"/>
              <w:left w:val="nil"/>
              <w:bottom w:val="single" w:color="auto" w:sz="4" w:space="0"/>
              <w:right w:val="single" w:color="auto" w:sz="4" w:space="0"/>
            </w:tcBorders>
            <w:shd w:val="clear" w:color="auto" w:fill="auto"/>
            <w:vAlign w:val="center"/>
          </w:tcPr>
          <w:p w14:paraId="3220B54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认可</w:t>
            </w:r>
          </w:p>
        </w:tc>
        <w:tc>
          <w:tcPr>
            <w:tcW w:w="264" w:type="pct"/>
            <w:tcBorders>
              <w:top w:val="nil"/>
              <w:left w:val="nil"/>
              <w:bottom w:val="single" w:color="auto" w:sz="4" w:space="0"/>
              <w:right w:val="single" w:color="auto" w:sz="4" w:space="0"/>
            </w:tcBorders>
            <w:shd w:val="clear" w:color="auto" w:fill="auto"/>
            <w:vAlign w:val="center"/>
          </w:tcPr>
          <w:p w14:paraId="15801A74">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4</w:t>
            </w:r>
          </w:p>
        </w:tc>
        <w:tc>
          <w:tcPr>
            <w:tcW w:w="260" w:type="pct"/>
            <w:tcBorders>
              <w:top w:val="nil"/>
              <w:left w:val="nil"/>
              <w:bottom w:val="single" w:color="auto" w:sz="4" w:space="0"/>
              <w:right w:val="single" w:color="auto" w:sz="4" w:space="0"/>
            </w:tcBorders>
            <w:shd w:val="clear" w:color="auto" w:fill="auto"/>
            <w:vAlign w:val="center"/>
          </w:tcPr>
          <w:p w14:paraId="7EB5245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4</w:t>
            </w:r>
          </w:p>
        </w:tc>
        <w:tc>
          <w:tcPr>
            <w:tcW w:w="691" w:type="pct"/>
            <w:tcBorders>
              <w:top w:val="nil"/>
              <w:left w:val="nil"/>
              <w:bottom w:val="single" w:color="auto" w:sz="4" w:space="0"/>
              <w:right w:val="single" w:color="auto" w:sz="4" w:space="0"/>
            </w:tcBorders>
            <w:shd w:val="clear" w:color="auto" w:fill="auto"/>
            <w:vAlign w:val="center"/>
          </w:tcPr>
          <w:p w14:paraId="27DD632F">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结课16篇前期研究课题报告。市级以上刊物刊发16篇。</w:t>
            </w:r>
          </w:p>
        </w:tc>
      </w:tr>
      <w:tr w14:paraId="0874E3F7">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7B931E3A">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CBF4D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D3可持续发展</w:t>
            </w:r>
          </w:p>
        </w:tc>
        <w:tc>
          <w:tcPr>
            <w:tcW w:w="490" w:type="pct"/>
            <w:tcBorders>
              <w:top w:val="nil"/>
              <w:left w:val="nil"/>
              <w:bottom w:val="single" w:color="auto" w:sz="4" w:space="0"/>
              <w:right w:val="single" w:color="auto" w:sz="4" w:space="0"/>
            </w:tcBorders>
            <w:shd w:val="clear" w:color="auto" w:fill="auto"/>
            <w:vAlign w:val="center"/>
          </w:tcPr>
          <w:p w14:paraId="2F16C0F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D31部门信息化建设</w:t>
            </w:r>
          </w:p>
        </w:tc>
        <w:tc>
          <w:tcPr>
            <w:tcW w:w="795" w:type="pct"/>
            <w:tcBorders>
              <w:top w:val="nil"/>
              <w:left w:val="nil"/>
              <w:bottom w:val="single" w:color="auto" w:sz="4" w:space="0"/>
              <w:right w:val="single" w:color="auto" w:sz="4" w:space="0"/>
            </w:tcBorders>
            <w:shd w:val="clear" w:color="auto" w:fill="auto"/>
            <w:vAlign w:val="center"/>
          </w:tcPr>
          <w:p w14:paraId="53C5E42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考核：①是否建有预算管理系统、综合办公系统、政府采购系统、监测统计系统等信息系统；②有关信息系统是否能够实现有机衔接；③有关信息系统是否提高了履职效率。</w:t>
            </w:r>
          </w:p>
        </w:tc>
        <w:tc>
          <w:tcPr>
            <w:tcW w:w="1634" w:type="pct"/>
            <w:tcBorders>
              <w:top w:val="nil"/>
              <w:left w:val="nil"/>
              <w:bottom w:val="single" w:color="auto" w:sz="4" w:space="0"/>
              <w:right w:val="single" w:color="auto" w:sz="4" w:space="0"/>
            </w:tcBorders>
            <w:shd w:val="clear" w:color="auto" w:fill="auto"/>
            <w:vAlign w:val="center"/>
          </w:tcPr>
          <w:p w14:paraId="3F59079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1．建有预算管理系统、综合办公系统、政府采购系统、监测统计系统等信息系统；</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2．有关信息系统能够实现有机衔接；</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3．有关信息系统提高了履职效率。</w:t>
            </w:r>
          </w:p>
          <w:p w14:paraId="75AB107C">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评分规则：</w:t>
            </w:r>
          </w:p>
          <w:p w14:paraId="3C4EDA69">
            <w:pPr>
              <w:widowControl/>
              <w:spacing w:line="240" w:lineRule="auto"/>
              <w:ind w:firstLine="0" w:firstLineChars="0"/>
              <w:jc w:val="left"/>
              <w:rPr>
                <w:rFonts w:ascii="Times New Roman" w:hAnsi="Times New Roman" w:cs="Times New Roman"/>
              </w:rPr>
            </w:pPr>
            <w:r>
              <w:rPr>
                <w:rFonts w:ascii="Times New Roman" w:hAnsi="Times New Roman" w:eastAsia="方正楷体_GBK" w:cs="Times New Roman"/>
                <w:color w:val="000000"/>
                <w:kern w:val="0"/>
                <w:sz w:val="22"/>
              </w:rPr>
              <w:t>以上内容各占1/3权重分，符合则得分，不符合则按实际完成情况以权重比例扣分。</w:t>
            </w:r>
          </w:p>
        </w:tc>
        <w:tc>
          <w:tcPr>
            <w:tcW w:w="277" w:type="pct"/>
            <w:tcBorders>
              <w:top w:val="nil"/>
              <w:left w:val="nil"/>
              <w:bottom w:val="single" w:color="auto" w:sz="4" w:space="0"/>
              <w:right w:val="single" w:color="auto" w:sz="4" w:space="0"/>
            </w:tcBorders>
            <w:shd w:val="clear" w:color="auto" w:fill="auto"/>
            <w:vAlign w:val="center"/>
          </w:tcPr>
          <w:p w14:paraId="28009D0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高度建设</w:t>
            </w:r>
          </w:p>
        </w:tc>
        <w:tc>
          <w:tcPr>
            <w:tcW w:w="264" w:type="pct"/>
            <w:tcBorders>
              <w:top w:val="nil"/>
              <w:left w:val="nil"/>
              <w:bottom w:val="single" w:color="auto" w:sz="4" w:space="0"/>
              <w:right w:val="single" w:color="auto" w:sz="4" w:space="0"/>
            </w:tcBorders>
            <w:shd w:val="clear" w:color="auto" w:fill="auto"/>
            <w:vAlign w:val="center"/>
          </w:tcPr>
          <w:p w14:paraId="0C1E4DA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260" w:type="pct"/>
            <w:tcBorders>
              <w:top w:val="nil"/>
              <w:left w:val="nil"/>
              <w:bottom w:val="single" w:color="auto" w:sz="4" w:space="0"/>
              <w:right w:val="single" w:color="auto" w:sz="4" w:space="0"/>
            </w:tcBorders>
            <w:shd w:val="clear" w:color="auto" w:fill="auto"/>
            <w:vAlign w:val="center"/>
          </w:tcPr>
          <w:p w14:paraId="46F8CDA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691" w:type="pct"/>
            <w:tcBorders>
              <w:top w:val="nil"/>
              <w:left w:val="nil"/>
              <w:bottom w:val="single" w:color="auto" w:sz="4" w:space="0"/>
              <w:right w:val="single" w:color="auto" w:sz="4" w:space="0"/>
            </w:tcBorders>
            <w:shd w:val="clear" w:color="auto" w:fill="auto"/>
            <w:vAlign w:val="center"/>
          </w:tcPr>
          <w:p w14:paraId="7319599B">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建有预算管理系统、综合办公系统等信息系统，并实现有机衔接，提高了履职效率。</w:t>
            </w:r>
          </w:p>
        </w:tc>
      </w:tr>
      <w:tr w14:paraId="3612295C">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219EB43E">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single" w:color="auto" w:sz="4" w:space="0"/>
              <w:left w:val="single" w:color="auto" w:sz="4" w:space="0"/>
              <w:bottom w:val="single" w:color="auto" w:sz="4" w:space="0"/>
              <w:right w:val="single" w:color="auto" w:sz="4" w:space="0"/>
            </w:tcBorders>
            <w:vAlign w:val="center"/>
          </w:tcPr>
          <w:p w14:paraId="1227FD09">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2728798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D32部门创新情况</w:t>
            </w:r>
          </w:p>
        </w:tc>
        <w:tc>
          <w:tcPr>
            <w:tcW w:w="795" w:type="pct"/>
            <w:tcBorders>
              <w:top w:val="nil"/>
              <w:left w:val="nil"/>
              <w:bottom w:val="single" w:color="auto" w:sz="4" w:space="0"/>
              <w:right w:val="single" w:color="auto" w:sz="4" w:space="0"/>
            </w:tcBorders>
            <w:shd w:val="clear" w:color="000000" w:fill="FFFFFF"/>
            <w:vAlign w:val="center"/>
          </w:tcPr>
          <w:p w14:paraId="6EC93E0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考核是否通过制度创新、方法创新等方式不断提高履职能力</w:t>
            </w:r>
          </w:p>
        </w:tc>
        <w:tc>
          <w:tcPr>
            <w:tcW w:w="1634" w:type="pct"/>
            <w:tcBorders>
              <w:top w:val="nil"/>
              <w:left w:val="nil"/>
              <w:bottom w:val="single" w:color="auto" w:sz="4" w:space="0"/>
              <w:right w:val="single" w:color="auto" w:sz="4" w:space="0"/>
            </w:tcBorders>
            <w:shd w:val="clear" w:color="000000" w:fill="FFFFFF"/>
            <w:vAlign w:val="center"/>
          </w:tcPr>
          <w:p w14:paraId="27F0BDDC">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0204F4EF">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通过制度创新、方法创新等方式不断提高履职能力。</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p>
          <w:p w14:paraId="5D25F7E5">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存在制度创新、方法创新得满分；无创新项则不得分。</w:t>
            </w:r>
          </w:p>
        </w:tc>
        <w:tc>
          <w:tcPr>
            <w:tcW w:w="277" w:type="pct"/>
            <w:tcBorders>
              <w:top w:val="nil"/>
              <w:left w:val="nil"/>
              <w:bottom w:val="single" w:color="auto" w:sz="4" w:space="0"/>
              <w:right w:val="single" w:color="auto" w:sz="4" w:space="0"/>
            </w:tcBorders>
            <w:shd w:val="clear" w:color="000000" w:fill="FFFFFF"/>
            <w:vAlign w:val="center"/>
          </w:tcPr>
          <w:p w14:paraId="0372731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创新</w:t>
            </w:r>
          </w:p>
        </w:tc>
        <w:tc>
          <w:tcPr>
            <w:tcW w:w="264" w:type="pct"/>
            <w:tcBorders>
              <w:top w:val="nil"/>
              <w:left w:val="nil"/>
              <w:bottom w:val="single" w:color="auto" w:sz="4" w:space="0"/>
              <w:right w:val="single" w:color="auto" w:sz="4" w:space="0"/>
            </w:tcBorders>
            <w:shd w:val="clear" w:color="000000" w:fill="FFFFFF"/>
            <w:vAlign w:val="center"/>
          </w:tcPr>
          <w:p w14:paraId="0601F9A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260" w:type="pct"/>
            <w:tcBorders>
              <w:top w:val="nil"/>
              <w:left w:val="nil"/>
              <w:bottom w:val="single" w:color="auto" w:sz="4" w:space="0"/>
              <w:right w:val="single" w:color="auto" w:sz="4" w:space="0"/>
            </w:tcBorders>
            <w:shd w:val="clear" w:color="000000" w:fill="FFFFFF"/>
            <w:vAlign w:val="center"/>
          </w:tcPr>
          <w:p w14:paraId="461946E6">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0</w:t>
            </w:r>
          </w:p>
        </w:tc>
        <w:tc>
          <w:tcPr>
            <w:tcW w:w="691" w:type="pct"/>
            <w:tcBorders>
              <w:top w:val="nil"/>
              <w:left w:val="nil"/>
              <w:bottom w:val="single" w:color="auto" w:sz="4" w:space="0"/>
              <w:right w:val="single" w:color="auto" w:sz="4" w:space="0"/>
            </w:tcBorders>
            <w:shd w:val="clear" w:color="000000" w:fill="FFFFFF"/>
            <w:vAlign w:val="center"/>
          </w:tcPr>
          <w:p w14:paraId="46927ED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无相关制度创新、方法创新举措。</w:t>
            </w:r>
          </w:p>
        </w:tc>
      </w:tr>
      <w:tr w14:paraId="14F0691A">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shd w:val="clear" w:color="000000" w:fill="FFFFFF"/>
            <w:vAlign w:val="center"/>
          </w:tcPr>
          <w:p w14:paraId="1D45FC85">
            <w:pPr>
              <w:widowControl/>
              <w:spacing w:line="240" w:lineRule="auto"/>
              <w:ind w:firstLine="0" w:firstLineChars="0"/>
              <w:jc w:val="center"/>
              <w:rPr>
                <w:rFonts w:ascii="Times New Roman" w:hAnsi="Times New Roman" w:eastAsia="方正楷体_GBK" w:cs="Times New Roman"/>
                <w:color w:val="000000"/>
                <w:kern w:val="0"/>
                <w:sz w:val="22"/>
              </w:rPr>
            </w:pPr>
          </w:p>
        </w:tc>
        <w:tc>
          <w:tcPr>
            <w:tcW w:w="321" w:type="pct"/>
            <w:vMerge w:val="restart"/>
            <w:tcBorders>
              <w:top w:val="nil"/>
              <w:left w:val="single" w:color="auto" w:sz="4" w:space="0"/>
              <w:bottom w:val="single" w:color="auto" w:sz="4" w:space="0"/>
              <w:right w:val="single" w:color="auto" w:sz="4" w:space="0"/>
            </w:tcBorders>
            <w:shd w:val="clear" w:color="000000" w:fill="FFFFFF"/>
            <w:vAlign w:val="center"/>
          </w:tcPr>
          <w:p w14:paraId="4058068D">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D4服务对象满意度</w:t>
            </w:r>
          </w:p>
        </w:tc>
        <w:tc>
          <w:tcPr>
            <w:tcW w:w="490" w:type="pct"/>
            <w:tcBorders>
              <w:top w:val="nil"/>
              <w:left w:val="nil"/>
              <w:bottom w:val="single" w:color="auto" w:sz="4" w:space="0"/>
              <w:right w:val="single" w:color="auto" w:sz="4" w:space="0"/>
            </w:tcBorders>
            <w:shd w:val="clear" w:color="auto" w:fill="auto"/>
            <w:vAlign w:val="center"/>
          </w:tcPr>
          <w:p w14:paraId="0B5214A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E11政务热线工作绩效考评</w:t>
            </w:r>
          </w:p>
        </w:tc>
        <w:tc>
          <w:tcPr>
            <w:tcW w:w="795" w:type="pct"/>
            <w:tcBorders>
              <w:top w:val="nil"/>
              <w:left w:val="nil"/>
              <w:bottom w:val="single" w:color="auto" w:sz="4" w:space="0"/>
              <w:right w:val="single" w:color="auto" w:sz="4" w:space="0"/>
            </w:tcBorders>
            <w:shd w:val="clear" w:color="auto" w:fill="auto"/>
            <w:vAlign w:val="center"/>
          </w:tcPr>
          <w:p w14:paraId="506AD12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考核公众对部门的满意度。</w:t>
            </w:r>
          </w:p>
        </w:tc>
        <w:tc>
          <w:tcPr>
            <w:tcW w:w="1634" w:type="pct"/>
            <w:tcBorders>
              <w:top w:val="nil"/>
              <w:left w:val="nil"/>
              <w:bottom w:val="single" w:color="auto" w:sz="4" w:space="0"/>
              <w:right w:val="single" w:color="auto" w:sz="4" w:space="0"/>
            </w:tcBorders>
            <w:shd w:val="clear" w:color="auto" w:fill="auto"/>
            <w:vAlign w:val="center"/>
          </w:tcPr>
          <w:p w14:paraId="3C0E7DFC">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公众对部门履职的满意度为满意。</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上级部门对市发改委的履职情况达到满意得满分，否则酌情扣分。</w:t>
            </w:r>
          </w:p>
        </w:tc>
        <w:tc>
          <w:tcPr>
            <w:tcW w:w="277" w:type="pct"/>
            <w:tcBorders>
              <w:top w:val="nil"/>
              <w:left w:val="nil"/>
              <w:bottom w:val="single" w:color="auto" w:sz="4" w:space="0"/>
              <w:right w:val="single" w:color="auto" w:sz="4" w:space="0"/>
            </w:tcBorders>
            <w:shd w:val="clear" w:color="auto" w:fill="auto"/>
            <w:vAlign w:val="center"/>
          </w:tcPr>
          <w:p w14:paraId="26F6D69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满意</w:t>
            </w:r>
          </w:p>
        </w:tc>
        <w:tc>
          <w:tcPr>
            <w:tcW w:w="264" w:type="pct"/>
            <w:tcBorders>
              <w:top w:val="nil"/>
              <w:left w:val="nil"/>
              <w:bottom w:val="single" w:color="auto" w:sz="4" w:space="0"/>
              <w:right w:val="single" w:color="auto" w:sz="4" w:space="0"/>
            </w:tcBorders>
            <w:shd w:val="clear" w:color="auto" w:fill="auto"/>
            <w:vAlign w:val="center"/>
          </w:tcPr>
          <w:p w14:paraId="79992C95">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260" w:type="pct"/>
            <w:tcBorders>
              <w:top w:val="nil"/>
              <w:left w:val="nil"/>
              <w:bottom w:val="single" w:color="auto" w:sz="4" w:space="0"/>
              <w:right w:val="single" w:color="auto" w:sz="4" w:space="0"/>
            </w:tcBorders>
            <w:shd w:val="clear" w:color="auto" w:fill="auto"/>
            <w:vAlign w:val="center"/>
          </w:tcPr>
          <w:p w14:paraId="76E0E06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691" w:type="pct"/>
            <w:tcBorders>
              <w:top w:val="nil"/>
              <w:left w:val="nil"/>
              <w:bottom w:val="single" w:color="auto" w:sz="4" w:space="0"/>
              <w:right w:val="single" w:color="auto" w:sz="4" w:space="0"/>
            </w:tcBorders>
            <w:shd w:val="clear" w:color="auto" w:fill="auto"/>
            <w:vAlign w:val="center"/>
          </w:tcPr>
          <w:p w14:paraId="7EF1366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公众对部门的满意度为满意。</w:t>
            </w:r>
          </w:p>
        </w:tc>
      </w:tr>
      <w:tr w14:paraId="5D2A9B33">
        <w:tblPrEx>
          <w:tblCellMar>
            <w:top w:w="0" w:type="dxa"/>
            <w:left w:w="108" w:type="dxa"/>
            <w:bottom w:w="0" w:type="dxa"/>
            <w:right w:w="108" w:type="dxa"/>
          </w:tblCellMar>
        </w:tblPrEx>
        <w:trPr>
          <w:trHeight w:val="23" w:hRule="atLeast"/>
        </w:trPr>
        <w:tc>
          <w:tcPr>
            <w:tcW w:w="263" w:type="pct"/>
            <w:vMerge w:val="continue"/>
            <w:tcBorders>
              <w:left w:val="single" w:color="auto" w:sz="4" w:space="0"/>
              <w:right w:val="single" w:color="auto" w:sz="4" w:space="0"/>
            </w:tcBorders>
            <w:vAlign w:val="center"/>
          </w:tcPr>
          <w:p w14:paraId="7649C935">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auto" w:sz="4" w:space="0"/>
              <w:right w:val="single" w:color="auto" w:sz="4" w:space="0"/>
            </w:tcBorders>
            <w:vAlign w:val="center"/>
          </w:tcPr>
          <w:p w14:paraId="14301BA8">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64E7491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E12省发改委综合考评、市级机关绩效考评</w:t>
            </w:r>
          </w:p>
        </w:tc>
        <w:tc>
          <w:tcPr>
            <w:tcW w:w="795" w:type="pct"/>
            <w:tcBorders>
              <w:top w:val="nil"/>
              <w:left w:val="nil"/>
              <w:bottom w:val="single" w:color="auto" w:sz="4" w:space="0"/>
              <w:right w:val="single" w:color="auto" w:sz="4" w:space="0"/>
            </w:tcBorders>
            <w:shd w:val="clear" w:color="000000" w:fill="FFFFFF"/>
            <w:vAlign w:val="center"/>
          </w:tcPr>
          <w:p w14:paraId="1FA77FD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考核上级部门对部门的满意度</w:t>
            </w:r>
          </w:p>
        </w:tc>
        <w:tc>
          <w:tcPr>
            <w:tcW w:w="1634" w:type="pct"/>
            <w:tcBorders>
              <w:top w:val="nil"/>
              <w:left w:val="nil"/>
              <w:bottom w:val="single" w:color="auto" w:sz="4" w:space="0"/>
              <w:right w:val="single" w:color="auto" w:sz="4" w:space="0"/>
            </w:tcBorders>
            <w:shd w:val="clear" w:color="000000" w:fill="FFFFFF"/>
            <w:vAlign w:val="center"/>
          </w:tcPr>
          <w:p w14:paraId="63B1FE2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5D3C19F2">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上级部门对市发改委的履职情况满意。</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p>
          <w:p w14:paraId="0BBAB0FA">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上级部门对市发改委的履职情况达到满意得满分，否则酌情扣分。</w:t>
            </w:r>
          </w:p>
        </w:tc>
        <w:tc>
          <w:tcPr>
            <w:tcW w:w="277" w:type="pct"/>
            <w:tcBorders>
              <w:top w:val="nil"/>
              <w:left w:val="nil"/>
              <w:bottom w:val="single" w:color="auto" w:sz="4" w:space="0"/>
              <w:right w:val="single" w:color="auto" w:sz="4" w:space="0"/>
            </w:tcBorders>
            <w:shd w:val="clear" w:color="000000" w:fill="FFFFFF"/>
            <w:vAlign w:val="center"/>
          </w:tcPr>
          <w:p w14:paraId="6221D4B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满意</w:t>
            </w:r>
          </w:p>
        </w:tc>
        <w:tc>
          <w:tcPr>
            <w:tcW w:w="264" w:type="pct"/>
            <w:tcBorders>
              <w:top w:val="nil"/>
              <w:left w:val="nil"/>
              <w:bottom w:val="single" w:color="auto" w:sz="4" w:space="0"/>
              <w:right w:val="single" w:color="auto" w:sz="4" w:space="0"/>
            </w:tcBorders>
            <w:shd w:val="clear" w:color="000000" w:fill="FFFFFF"/>
            <w:vAlign w:val="center"/>
          </w:tcPr>
          <w:p w14:paraId="47808C4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260" w:type="pct"/>
            <w:tcBorders>
              <w:top w:val="nil"/>
              <w:left w:val="nil"/>
              <w:bottom w:val="single" w:color="auto" w:sz="4" w:space="0"/>
              <w:right w:val="single" w:color="auto" w:sz="4" w:space="0"/>
            </w:tcBorders>
            <w:shd w:val="clear" w:color="000000" w:fill="FFFFFF"/>
            <w:vAlign w:val="center"/>
          </w:tcPr>
          <w:p w14:paraId="2142ACB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691" w:type="pct"/>
            <w:tcBorders>
              <w:top w:val="nil"/>
              <w:left w:val="nil"/>
              <w:bottom w:val="single" w:color="auto" w:sz="4" w:space="0"/>
              <w:right w:val="single" w:color="auto" w:sz="4" w:space="0"/>
            </w:tcBorders>
            <w:shd w:val="clear" w:color="000000" w:fill="FFFFFF"/>
            <w:vAlign w:val="center"/>
          </w:tcPr>
          <w:p w14:paraId="51915DB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上级部门对部门的满意度为满意。</w:t>
            </w:r>
          </w:p>
        </w:tc>
      </w:tr>
      <w:tr w14:paraId="7C2F113E">
        <w:tblPrEx>
          <w:tblCellMar>
            <w:top w:w="0" w:type="dxa"/>
            <w:left w:w="108" w:type="dxa"/>
            <w:bottom w:w="0" w:type="dxa"/>
            <w:right w:w="108" w:type="dxa"/>
          </w:tblCellMar>
        </w:tblPrEx>
        <w:trPr>
          <w:trHeight w:val="23" w:hRule="atLeast"/>
        </w:trPr>
        <w:tc>
          <w:tcPr>
            <w:tcW w:w="263" w:type="pct"/>
            <w:vMerge w:val="continue"/>
            <w:tcBorders>
              <w:left w:val="single" w:color="auto" w:sz="4" w:space="0"/>
              <w:bottom w:val="single" w:color="000000" w:sz="4" w:space="0"/>
              <w:right w:val="single" w:color="auto" w:sz="4" w:space="0"/>
            </w:tcBorders>
            <w:vAlign w:val="center"/>
          </w:tcPr>
          <w:p w14:paraId="0A35F20C">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vMerge w:val="continue"/>
            <w:tcBorders>
              <w:top w:val="nil"/>
              <w:left w:val="single" w:color="auto" w:sz="4" w:space="0"/>
              <w:bottom w:val="single" w:color="auto" w:sz="4" w:space="0"/>
              <w:right w:val="single" w:color="auto" w:sz="4" w:space="0"/>
            </w:tcBorders>
            <w:vAlign w:val="center"/>
          </w:tcPr>
          <w:p w14:paraId="7BD73938">
            <w:pPr>
              <w:widowControl/>
              <w:spacing w:line="240" w:lineRule="auto"/>
              <w:ind w:firstLine="0" w:firstLineChars="0"/>
              <w:jc w:val="left"/>
              <w:rPr>
                <w:rFonts w:ascii="Times New Roman" w:hAnsi="Times New Roman" w:eastAsia="方正楷体_GBK" w:cs="Times New Roman"/>
                <w:color w:val="000000"/>
                <w:kern w:val="0"/>
                <w:sz w:val="22"/>
              </w:rPr>
            </w:pPr>
          </w:p>
        </w:tc>
        <w:tc>
          <w:tcPr>
            <w:tcW w:w="490" w:type="pct"/>
            <w:tcBorders>
              <w:top w:val="nil"/>
              <w:left w:val="nil"/>
              <w:bottom w:val="single" w:color="auto" w:sz="4" w:space="0"/>
              <w:right w:val="single" w:color="auto" w:sz="4" w:space="0"/>
            </w:tcBorders>
            <w:shd w:val="clear" w:color="000000" w:fill="FFFFFF"/>
            <w:vAlign w:val="center"/>
          </w:tcPr>
          <w:p w14:paraId="2A29793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E13部门人员满意度</w:t>
            </w:r>
          </w:p>
        </w:tc>
        <w:tc>
          <w:tcPr>
            <w:tcW w:w="795" w:type="pct"/>
            <w:tcBorders>
              <w:top w:val="nil"/>
              <w:left w:val="nil"/>
              <w:bottom w:val="single" w:color="auto" w:sz="4" w:space="0"/>
              <w:right w:val="single" w:color="auto" w:sz="4" w:space="0"/>
            </w:tcBorders>
            <w:shd w:val="clear" w:color="000000" w:fill="FFFFFF"/>
            <w:vAlign w:val="center"/>
          </w:tcPr>
          <w:p w14:paraId="44C298E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考核部门人员的满意度</w:t>
            </w:r>
          </w:p>
        </w:tc>
        <w:tc>
          <w:tcPr>
            <w:tcW w:w="1634" w:type="pct"/>
            <w:tcBorders>
              <w:top w:val="nil"/>
              <w:left w:val="nil"/>
              <w:bottom w:val="single" w:color="auto" w:sz="4" w:space="0"/>
              <w:right w:val="single" w:color="auto" w:sz="4" w:space="0"/>
            </w:tcBorders>
            <w:shd w:val="clear" w:color="000000" w:fill="FFFFFF"/>
            <w:vAlign w:val="center"/>
          </w:tcPr>
          <w:p w14:paraId="77282994">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评价要点：</w:t>
            </w:r>
          </w:p>
          <w:p w14:paraId="666C6F27">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部门人员对部门整体的满意度为满意。</w:t>
            </w:r>
            <w:r>
              <w:rPr>
                <w:rFonts w:ascii="Times New Roman" w:hAnsi="Times New Roman" w:eastAsia="方正楷体_GBK" w:cs="Times New Roman"/>
                <w:color w:val="000000"/>
                <w:kern w:val="0"/>
                <w:sz w:val="22"/>
              </w:rPr>
              <w:br w:type="textWrapping"/>
            </w:r>
            <w:r>
              <w:rPr>
                <w:rFonts w:ascii="Times New Roman" w:hAnsi="Times New Roman" w:eastAsia="方正楷体_GBK" w:cs="Times New Roman"/>
                <w:color w:val="000000"/>
                <w:kern w:val="0"/>
                <w:sz w:val="22"/>
              </w:rPr>
              <w:t>评分规则：</w:t>
            </w:r>
          </w:p>
          <w:p w14:paraId="458107F3">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部门人员满意度达到满意得满分，否则酌情扣分。</w:t>
            </w:r>
          </w:p>
        </w:tc>
        <w:tc>
          <w:tcPr>
            <w:tcW w:w="277" w:type="pct"/>
            <w:tcBorders>
              <w:top w:val="nil"/>
              <w:left w:val="nil"/>
              <w:bottom w:val="single" w:color="auto" w:sz="4" w:space="0"/>
              <w:right w:val="single" w:color="auto" w:sz="4" w:space="0"/>
            </w:tcBorders>
            <w:shd w:val="clear" w:color="000000" w:fill="FFFFFF"/>
            <w:vAlign w:val="center"/>
          </w:tcPr>
          <w:p w14:paraId="35A2F58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满意</w:t>
            </w:r>
          </w:p>
        </w:tc>
        <w:tc>
          <w:tcPr>
            <w:tcW w:w="264" w:type="pct"/>
            <w:tcBorders>
              <w:top w:val="nil"/>
              <w:left w:val="nil"/>
              <w:bottom w:val="single" w:color="auto" w:sz="4" w:space="0"/>
              <w:right w:val="single" w:color="auto" w:sz="4" w:space="0"/>
            </w:tcBorders>
            <w:shd w:val="clear" w:color="000000" w:fill="FFFFFF"/>
            <w:vAlign w:val="center"/>
          </w:tcPr>
          <w:p w14:paraId="1EA862E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260" w:type="pct"/>
            <w:tcBorders>
              <w:top w:val="nil"/>
              <w:left w:val="nil"/>
              <w:bottom w:val="single" w:color="auto" w:sz="4" w:space="0"/>
              <w:right w:val="single" w:color="auto" w:sz="4" w:space="0"/>
            </w:tcBorders>
            <w:shd w:val="clear" w:color="000000" w:fill="FFFFFF"/>
            <w:vAlign w:val="center"/>
          </w:tcPr>
          <w:p w14:paraId="3868AE5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3</w:t>
            </w:r>
          </w:p>
        </w:tc>
        <w:tc>
          <w:tcPr>
            <w:tcW w:w="691" w:type="pct"/>
            <w:tcBorders>
              <w:top w:val="nil"/>
              <w:left w:val="nil"/>
              <w:bottom w:val="single" w:color="auto" w:sz="4" w:space="0"/>
              <w:right w:val="single" w:color="auto" w:sz="4" w:space="0"/>
            </w:tcBorders>
            <w:shd w:val="clear" w:color="000000" w:fill="FFFFFF"/>
            <w:vAlign w:val="center"/>
          </w:tcPr>
          <w:p w14:paraId="4C21538E">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部门人员满意度为满意。</w:t>
            </w:r>
          </w:p>
        </w:tc>
      </w:tr>
      <w:tr w14:paraId="3D6CF346">
        <w:tblPrEx>
          <w:tblCellMar>
            <w:top w:w="0" w:type="dxa"/>
            <w:left w:w="108" w:type="dxa"/>
            <w:bottom w:w="0" w:type="dxa"/>
            <w:right w:w="108" w:type="dxa"/>
          </w:tblCellMar>
        </w:tblPrEx>
        <w:trPr>
          <w:trHeight w:val="23" w:hRule="atLeast"/>
        </w:trPr>
        <w:tc>
          <w:tcPr>
            <w:tcW w:w="1074" w:type="pct"/>
            <w:gridSpan w:val="3"/>
            <w:tcBorders>
              <w:top w:val="single" w:color="auto" w:sz="4" w:space="0"/>
              <w:left w:val="single" w:color="auto" w:sz="4" w:space="0"/>
              <w:bottom w:val="single" w:color="auto" w:sz="4" w:space="0"/>
              <w:right w:val="single" w:color="000000" w:sz="4" w:space="0"/>
            </w:tcBorders>
            <w:shd w:val="clear" w:color="000000" w:fill="FFFFFF"/>
            <w:vAlign w:val="center"/>
          </w:tcPr>
          <w:p w14:paraId="75D4AE3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合计</w:t>
            </w:r>
          </w:p>
        </w:tc>
        <w:tc>
          <w:tcPr>
            <w:tcW w:w="795" w:type="pct"/>
            <w:tcBorders>
              <w:top w:val="nil"/>
              <w:left w:val="nil"/>
              <w:bottom w:val="single" w:color="auto" w:sz="4" w:space="0"/>
              <w:right w:val="single" w:color="auto" w:sz="4" w:space="0"/>
            </w:tcBorders>
            <w:shd w:val="clear" w:color="000000" w:fill="FFFFFF"/>
            <w:vAlign w:val="center"/>
          </w:tcPr>
          <w:p w14:paraId="0707777C">
            <w:pPr>
              <w:widowControl/>
              <w:spacing w:line="240" w:lineRule="auto"/>
              <w:ind w:firstLine="0" w:firstLineChars="0"/>
              <w:jc w:val="center"/>
              <w:rPr>
                <w:rFonts w:ascii="Times New Roman" w:hAnsi="Times New Roman" w:eastAsia="方正楷体_GBK" w:cs="Times New Roman"/>
                <w:b/>
                <w:bCs/>
                <w:color w:val="000000"/>
                <w:kern w:val="0"/>
                <w:sz w:val="22"/>
              </w:rPr>
            </w:pPr>
          </w:p>
        </w:tc>
        <w:tc>
          <w:tcPr>
            <w:tcW w:w="1634" w:type="pct"/>
            <w:tcBorders>
              <w:top w:val="nil"/>
              <w:left w:val="nil"/>
              <w:bottom w:val="single" w:color="auto" w:sz="4" w:space="0"/>
              <w:right w:val="single" w:color="auto" w:sz="4" w:space="0"/>
            </w:tcBorders>
            <w:shd w:val="clear" w:color="000000" w:fill="FFFFFF"/>
            <w:vAlign w:val="center"/>
          </w:tcPr>
          <w:p w14:paraId="2F3B8B8D">
            <w:pPr>
              <w:widowControl/>
              <w:spacing w:line="240" w:lineRule="auto"/>
              <w:ind w:firstLine="0" w:firstLineChars="0"/>
              <w:jc w:val="left"/>
              <w:rPr>
                <w:rFonts w:ascii="Times New Roman" w:hAnsi="Times New Roman" w:eastAsia="方正楷体_GBK" w:cs="Times New Roman"/>
                <w:b/>
                <w:bCs/>
                <w:color w:val="000000"/>
                <w:kern w:val="0"/>
                <w:sz w:val="22"/>
              </w:rPr>
            </w:pPr>
          </w:p>
        </w:tc>
        <w:tc>
          <w:tcPr>
            <w:tcW w:w="277" w:type="pct"/>
            <w:tcBorders>
              <w:top w:val="nil"/>
              <w:left w:val="nil"/>
              <w:bottom w:val="single" w:color="auto" w:sz="4" w:space="0"/>
              <w:right w:val="single" w:color="auto" w:sz="4" w:space="0"/>
            </w:tcBorders>
            <w:shd w:val="clear" w:color="000000" w:fill="FFFFFF"/>
            <w:vAlign w:val="center"/>
          </w:tcPr>
          <w:p w14:paraId="7B113D55">
            <w:pPr>
              <w:widowControl/>
              <w:spacing w:line="240" w:lineRule="auto"/>
              <w:ind w:firstLine="0" w:firstLineChars="0"/>
              <w:jc w:val="center"/>
              <w:rPr>
                <w:rFonts w:ascii="Times New Roman" w:hAnsi="Times New Roman" w:eastAsia="方正楷体_GBK" w:cs="Times New Roman"/>
                <w:b/>
                <w:bCs/>
                <w:color w:val="000000"/>
                <w:kern w:val="0"/>
                <w:sz w:val="22"/>
              </w:rPr>
            </w:pPr>
          </w:p>
        </w:tc>
        <w:tc>
          <w:tcPr>
            <w:tcW w:w="264" w:type="pct"/>
            <w:tcBorders>
              <w:top w:val="nil"/>
              <w:left w:val="nil"/>
              <w:bottom w:val="single" w:color="auto" w:sz="4" w:space="0"/>
              <w:right w:val="single" w:color="auto" w:sz="4" w:space="0"/>
            </w:tcBorders>
            <w:shd w:val="clear" w:color="000000" w:fill="FFFFFF"/>
            <w:vAlign w:val="center"/>
          </w:tcPr>
          <w:p w14:paraId="185FCFCF">
            <w:pPr>
              <w:widowControl/>
              <w:spacing w:line="240" w:lineRule="auto"/>
              <w:ind w:firstLine="0" w:firstLineChars="0"/>
              <w:jc w:val="center"/>
              <w:rPr>
                <w:rFonts w:ascii="Times New Roman" w:hAnsi="Times New Roman" w:eastAsia="方正楷体_GBK" w:cs="Times New Roman"/>
                <w:b/>
                <w:bCs/>
                <w:color w:val="000000"/>
                <w:kern w:val="0"/>
                <w:sz w:val="22"/>
              </w:rPr>
            </w:pPr>
            <w:r>
              <w:rPr>
                <w:rFonts w:ascii="Times New Roman" w:hAnsi="Times New Roman" w:eastAsia="方正楷体_GBK" w:cs="Times New Roman"/>
                <w:b/>
                <w:bCs/>
                <w:color w:val="000000"/>
                <w:kern w:val="0"/>
                <w:sz w:val="22"/>
              </w:rPr>
              <w:t>100</w:t>
            </w:r>
          </w:p>
        </w:tc>
        <w:tc>
          <w:tcPr>
            <w:tcW w:w="260" w:type="pct"/>
            <w:tcBorders>
              <w:top w:val="nil"/>
              <w:left w:val="nil"/>
              <w:bottom w:val="single" w:color="auto" w:sz="4" w:space="0"/>
              <w:right w:val="single" w:color="auto" w:sz="4" w:space="0"/>
            </w:tcBorders>
            <w:shd w:val="clear" w:color="000000" w:fill="FFFFFF"/>
            <w:vAlign w:val="center"/>
          </w:tcPr>
          <w:p w14:paraId="4E782E65">
            <w:pPr>
              <w:widowControl/>
              <w:spacing w:line="240" w:lineRule="auto"/>
              <w:ind w:firstLine="0" w:firstLineChars="0"/>
              <w:jc w:val="center"/>
              <w:rPr>
                <w:rFonts w:ascii="Times New Roman" w:hAnsi="Times New Roman" w:eastAsia="方正楷体_GBK" w:cs="Times New Roman"/>
                <w:b/>
                <w:bCs/>
                <w:color w:val="000000"/>
                <w:kern w:val="0"/>
                <w:sz w:val="22"/>
              </w:rPr>
            </w:pPr>
            <w:r>
              <w:rPr>
                <w:rFonts w:ascii="Times New Roman" w:hAnsi="Times New Roman" w:eastAsia="方正楷体_GBK" w:cs="Times New Roman"/>
                <w:b/>
                <w:bCs/>
                <w:color w:val="000000"/>
                <w:kern w:val="0"/>
                <w:sz w:val="22"/>
              </w:rPr>
              <w:t>91.83</w:t>
            </w:r>
          </w:p>
        </w:tc>
        <w:tc>
          <w:tcPr>
            <w:tcW w:w="691" w:type="pct"/>
            <w:tcBorders>
              <w:top w:val="nil"/>
              <w:left w:val="nil"/>
              <w:bottom w:val="single" w:color="auto" w:sz="4" w:space="0"/>
              <w:right w:val="single" w:color="auto" w:sz="4" w:space="0"/>
            </w:tcBorders>
            <w:shd w:val="clear" w:color="000000" w:fill="FFFFFF"/>
            <w:vAlign w:val="center"/>
          </w:tcPr>
          <w:p w14:paraId="12BEA02A">
            <w:pPr>
              <w:widowControl/>
              <w:spacing w:line="240" w:lineRule="auto"/>
              <w:ind w:firstLine="0" w:firstLineChars="0"/>
              <w:jc w:val="left"/>
              <w:rPr>
                <w:rFonts w:ascii="Times New Roman" w:hAnsi="Times New Roman" w:eastAsia="方正楷体_GBK" w:cs="Times New Roman"/>
                <w:b/>
                <w:bCs/>
                <w:color w:val="000000"/>
                <w:kern w:val="0"/>
                <w:sz w:val="22"/>
              </w:rPr>
            </w:pPr>
          </w:p>
        </w:tc>
      </w:tr>
      <w:tr w14:paraId="4FBE0885">
        <w:tblPrEx>
          <w:tblCellMar>
            <w:top w:w="0" w:type="dxa"/>
            <w:left w:w="108" w:type="dxa"/>
            <w:bottom w:w="0" w:type="dxa"/>
            <w:right w:w="108" w:type="dxa"/>
          </w:tblCellMar>
        </w:tblPrEx>
        <w:trPr>
          <w:trHeight w:val="23" w:hRule="atLeast"/>
        </w:trPr>
        <w:tc>
          <w:tcPr>
            <w:tcW w:w="263" w:type="pct"/>
            <w:vMerge w:val="restart"/>
            <w:tcBorders>
              <w:top w:val="nil"/>
              <w:left w:val="single" w:color="auto" w:sz="4" w:space="0"/>
              <w:bottom w:val="single" w:color="000000" w:sz="4" w:space="0"/>
              <w:right w:val="single" w:color="auto" w:sz="4" w:space="0"/>
            </w:tcBorders>
            <w:shd w:val="clear" w:color="000000" w:fill="FFFFFF"/>
            <w:vAlign w:val="center"/>
          </w:tcPr>
          <w:p w14:paraId="23A277EA">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加减分项</w:t>
            </w:r>
          </w:p>
        </w:tc>
        <w:tc>
          <w:tcPr>
            <w:tcW w:w="321" w:type="pct"/>
            <w:tcBorders>
              <w:top w:val="nil"/>
              <w:left w:val="nil"/>
              <w:bottom w:val="single" w:color="auto" w:sz="4" w:space="0"/>
              <w:right w:val="single" w:color="auto" w:sz="4" w:space="0"/>
            </w:tcBorders>
            <w:shd w:val="clear" w:color="000000" w:fill="FFFFFF"/>
            <w:vAlign w:val="center"/>
          </w:tcPr>
          <w:p w14:paraId="1F4B495C">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加分项</w:t>
            </w:r>
          </w:p>
        </w:tc>
        <w:tc>
          <w:tcPr>
            <w:tcW w:w="490" w:type="pct"/>
            <w:tcBorders>
              <w:top w:val="nil"/>
              <w:left w:val="nil"/>
              <w:bottom w:val="single" w:color="auto" w:sz="4" w:space="0"/>
              <w:right w:val="single" w:color="auto" w:sz="4" w:space="0"/>
            </w:tcBorders>
            <w:shd w:val="clear" w:color="000000" w:fill="FFFFFF"/>
            <w:vAlign w:val="center"/>
          </w:tcPr>
          <w:p w14:paraId="4A035028">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受到本级与上级政府奖励</w:t>
            </w:r>
          </w:p>
        </w:tc>
        <w:tc>
          <w:tcPr>
            <w:tcW w:w="795" w:type="pct"/>
            <w:tcBorders>
              <w:top w:val="nil"/>
              <w:left w:val="nil"/>
              <w:bottom w:val="single" w:color="auto" w:sz="4" w:space="0"/>
              <w:right w:val="single" w:color="auto" w:sz="4" w:space="0"/>
            </w:tcBorders>
            <w:shd w:val="clear" w:color="000000" w:fill="FFFFFF"/>
            <w:vAlign w:val="center"/>
          </w:tcPr>
          <w:p w14:paraId="2CFEA5E9">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部门受到国务院、省级、市级嘉奖</w:t>
            </w:r>
          </w:p>
        </w:tc>
        <w:tc>
          <w:tcPr>
            <w:tcW w:w="1634" w:type="pct"/>
            <w:tcBorders>
              <w:top w:val="nil"/>
              <w:left w:val="nil"/>
              <w:bottom w:val="single" w:color="auto" w:sz="4" w:space="0"/>
              <w:right w:val="single" w:color="auto" w:sz="4" w:space="0"/>
            </w:tcBorders>
            <w:shd w:val="clear" w:color="000000" w:fill="FFFFFF"/>
            <w:vAlign w:val="center"/>
          </w:tcPr>
          <w:p w14:paraId="5496F29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受到国务院嘉奖加3分，受到省级嘉奖加2分，得到市级考核一等奖加1分，得到市级考核二等奖加0．5分；同一项工作不累计加分。</w:t>
            </w:r>
          </w:p>
        </w:tc>
        <w:tc>
          <w:tcPr>
            <w:tcW w:w="277" w:type="pct"/>
            <w:tcBorders>
              <w:top w:val="nil"/>
              <w:left w:val="nil"/>
              <w:bottom w:val="single" w:color="auto" w:sz="4" w:space="0"/>
              <w:right w:val="single" w:color="auto" w:sz="4" w:space="0"/>
            </w:tcBorders>
            <w:shd w:val="clear" w:color="000000" w:fill="FFFFFF"/>
            <w:vAlign w:val="center"/>
          </w:tcPr>
          <w:p w14:paraId="6C5A2CF5">
            <w:pPr>
              <w:widowControl/>
              <w:spacing w:line="240" w:lineRule="auto"/>
              <w:ind w:firstLine="0" w:firstLineChars="0"/>
              <w:jc w:val="center"/>
              <w:rPr>
                <w:rFonts w:ascii="Times New Roman" w:hAnsi="Times New Roman" w:eastAsia="方正楷体_GBK" w:cs="Times New Roman"/>
                <w:color w:val="000000"/>
                <w:kern w:val="0"/>
                <w:sz w:val="22"/>
              </w:rPr>
            </w:pPr>
          </w:p>
        </w:tc>
        <w:tc>
          <w:tcPr>
            <w:tcW w:w="264" w:type="pct"/>
            <w:tcBorders>
              <w:top w:val="nil"/>
              <w:left w:val="nil"/>
              <w:bottom w:val="single" w:color="auto" w:sz="4" w:space="0"/>
              <w:right w:val="single" w:color="auto" w:sz="4" w:space="0"/>
            </w:tcBorders>
            <w:shd w:val="clear" w:color="000000" w:fill="FFFFFF"/>
            <w:vAlign w:val="center"/>
          </w:tcPr>
          <w:p w14:paraId="35890170">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5</w:t>
            </w:r>
          </w:p>
        </w:tc>
        <w:tc>
          <w:tcPr>
            <w:tcW w:w="260" w:type="pct"/>
            <w:tcBorders>
              <w:top w:val="nil"/>
              <w:left w:val="nil"/>
              <w:bottom w:val="single" w:color="auto" w:sz="4" w:space="0"/>
              <w:right w:val="single" w:color="auto" w:sz="4" w:space="0"/>
            </w:tcBorders>
            <w:shd w:val="clear" w:color="000000" w:fill="FFFFFF"/>
            <w:vAlign w:val="center"/>
          </w:tcPr>
          <w:p w14:paraId="2AC744A1">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1</w:t>
            </w:r>
          </w:p>
        </w:tc>
        <w:tc>
          <w:tcPr>
            <w:tcW w:w="691" w:type="pct"/>
            <w:tcBorders>
              <w:top w:val="nil"/>
              <w:left w:val="nil"/>
              <w:bottom w:val="single" w:color="auto" w:sz="4" w:space="0"/>
              <w:right w:val="single" w:color="auto" w:sz="4" w:space="0"/>
            </w:tcBorders>
            <w:shd w:val="clear" w:color="000000" w:fill="FFFFFF"/>
            <w:vAlign w:val="center"/>
          </w:tcPr>
          <w:p w14:paraId="031B5459">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党支部评选为市模范机关建设精品案例。</w:t>
            </w:r>
          </w:p>
        </w:tc>
      </w:tr>
      <w:tr w14:paraId="2F6F511D">
        <w:tblPrEx>
          <w:tblCellMar>
            <w:top w:w="0" w:type="dxa"/>
            <w:left w:w="108" w:type="dxa"/>
            <w:bottom w:w="0" w:type="dxa"/>
            <w:right w:w="108" w:type="dxa"/>
          </w:tblCellMar>
        </w:tblPrEx>
        <w:trPr>
          <w:trHeight w:val="23" w:hRule="atLeast"/>
        </w:trPr>
        <w:tc>
          <w:tcPr>
            <w:tcW w:w="263" w:type="pct"/>
            <w:vMerge w:val="continue"/>
            <w:tcBorders>
              <w:top w:val="nil"/>
              <w:left w:val="single" w:color="auto" w:sz="4" w:space="0"/>
              <w:bottom w:val="single" w:color="000000" w:sz="4" w:space="0"/>
              <w:right w:val="single" w:color="auto" w:sz="4" w:space="0"/>
            </w:tcBorders>
            <w:vAlign w:val="center"/>
          </w:tcPr>
          <w:p w14:paraId="23FEB2BB">
            <w:pPr>
              <w:widowControl/>
              <w:spacing w:line="240" w:lineRule="auto"/>
              <w:ind w:firstLine="0" w:firstLineChars="0"/>
              <w:jc w:val="left"/>
              <w:rPr>
                <w:rFonts w:ascii="Times New Roman" w:hAnsi="Times New Roman" w:eastAsia="方正楷体_GBK" w:cs="Times New Roman"/>
                <w:color w:val="000000"/>
                <w:kern w:val="0"/>
                <w:sz w:val="22"/>
              </w:rPr>
            </w:pPr>
          </w:p>
        </w:tc>
        <w:tc>
          <w:tcPr>
            <w:tcW w:w="321" w:type="pct"/>
            <w:tcBorders>
              <w:top w:val="nil"/>
              <w:left w:val="nil"/>
              <w:bottom w:val="single" w:color="auto" w:sz="4" w:space="0"/>
              <w:right w:val="single" w:color="auto" w:sz="4" w:space="0"/>
            </w:tcBorders>
            <w:shd w:val="clear" w:color="000000" w:fill="FFFFFF"/>
            <w:vAlign w:val="center"/>
          </w:tcPr>
          <w:p w14:paraId="650D4D8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减分项</w:t>
            </w:r>
          </w:p>
        </w:tc>
        <w:tc>
          <w:tcPr>
            <w:tcW w:w="490" w:type="pct"/>
            <w:tcBorders>
              <w:top w:val="nil"/>
              <w:left w:val="nil"/>
              <w:bottom w:val="single" w:color="auto" w:sz="4" w:space="0"/>
              <w:right w:val="single" w:color="auto" w:sz="4" w:space="0"/>
            </w:tcBorders>
            <w:shd w:val="clear" w:color="000000" w:fill="FFFFFF"/>
            <w:vAlign w:val="center"/>
          </w:tcPr>
          <w:p w14:paraId="5032CE7E">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违法违纪</w:t>
            </w:r>
          </w:p>
        </w:tc>
        <w:tc>
          <w:tcPr>
            <w:tcW w:w="795" w:type="pct"/>
            <w:tcBorders>
              <w:top w:val="nil"/>
              <w:left w:val="nil"/>
              <w:bottom w:val="single" w:color="auto" w:sz="4" w:space="0"/>
              <w:right w:val="single" w:color="auto" w:sz="4" w:space="0"/>
            </w:tcBorders>
            <w:shd w:val="clear" w:color="000000" w:fill="FFFFFF"/>
            <w:vAlign w:val="center"/>
          </w:tcPr>
          <w:p w14:paraId="445C136F">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部门或工作人员违法违纪情况</w:t>
            </w:r>
          </w:p>
        </w:tc>
        <w:tc>
          <w:tcPr>
            <w:tcW w:w="1634" w:type="pct"/>
            <w:tcBorders>
              <w:top w:val="nil"/>
              <w:left w:val="nil"/>
              <w:bottom w:val="single" w:color="auto" w:sz="4" w:space="0"/>
              <w:right w:val="single" w:color="auto" w:sz="4" w:space="0"/>
            </w:tcBorders>
            <w:shd w:val="clear" w:color="000000" w:fill="FFFFFF"/>
            <w:vAlign w:val="center"/>
          </w:tcPr>
          <w:p w14:paraId="0D1F2A70">
            <w:pPr>
              <w:widowControl/>
              <w:spacing w:line="240" w:lineRule="auto"/>
              <w:ind w:firstLine="0" w:firstLineChars="0"/>
              <w:jc w:val="left"/>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发生一次部门或工作人员违法违纪，扣2分，扣完5分为止。</w:t>
            </w:r>
          </w:p>
        </w:tc>
        <w:tc>
          <w:tcPr>
            <w:tcW w:w="277" w:type="pct"/>
            <w:tcBorders>
              <w:top w:val="nil"/>
              <w:left w:val="nil"/>
              <w:bottom w:val="single" w:color="auto" w:sz="4" w:space="0"/>
              <w:right w:val="single" w:color="auto" w:sz="4" w:space="0"/>
            </w:tcBorders>
            <w:shd w:val="clear" w:color="000000" w:fill="FFFFFF"/>
            <w:vAlign w:val="center"/>
          </w:tcPr>
          <w:p w14:paraId="139F0FC6">
            <w:pPr>
              <w:widowControl/>
              <w:spacing w:line="240" w:lineRule="auto"/>
              <w:ind w:firstLine="0" w:firstLineChars="0"/>
              <w:jc w:val="center"/>
              <w:rPr>
                <w:rFonts w:ascii="Times New Roman" w:hAnsi="Times New Roman" w:eastAsia="方正楷体_GBK" w:cs="Times New Roman"/>
                <w:color w:val="000000"/>
                <w:kern w:val="0"/>
                <w:sz w:val="22"/>
              </w:rPr>
            </w:pPr>
          </w:p>
        </w:tc>
        <w:tc>
          <w:tcPr>
            <w:tcW w:w="264" w:type="pct"/>
            <w:tcBorders>
              <w:top w:val="nil"/>
              <w:left w:val="nil"/>
              <w:bottom w:val="single" w:color="auto" w:sz="4" w:space="0"/>
              <w:right w:val="single" w:color="auto" w:sz="4" w:space="0"/>
            </w:tcBorders>
            <w:shd w:val="clear" w:color="000000" w:fill="FFFFFF"/>
            <w:vAlign w:val="center"/>
          </w:tcPr>
          <w:p w14:paraId="3C5A2317">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-5</w:t>
            </w:r>
          </w:p>
        </w:tc>
        <w:tc>
          <w:tcPr>
            <w:tcW w:w="260" w:type="pct"/>
            <w:tcBorders>
              <w:top w:val="nil"/>
              <w:left w:val="nil"/>
              <w:bottom w:val="single" w:color="auto" w:sz="4" w:space="0"/>
              <w:right w:val="single" w:color="auto" w:sz="4" w:space="0"/>
            </w:tcBorders>
            <w:shd w:val="clear" w:color="000000" w:fill="FFFFFF"/>
            <w:vAlign w:val="center"/>
          </w:tcPr>
          <w:p w14:paraId="00E72272">
            <w:pPr>
              <w:widowControl/>
              <w:spacing w:line="240" w:lineRule="auto"/>
              <w:ind w:firstLine="0" w:firstLineChars="0"/>
              <w:jc w:val="center"/>
              <w:rPr>
                <w:rFonts w:ascii="Times New Roman" w:hAnsi="Times New Roman" w:eastAsia="方正楷体_GBK" w:cs="Times New Roman"/>
                <w:color w:val="000000"/>
                <w:kern w:val="0"/>
                <w:sz w:val="22"/>
              </w:rPr>
            </w:pPr>
            <w:r>
              <w:rPr>
                <w:rFonts w:ascii="Times New Roman" w:hAnsi="Times New Roman" w:eastAsia="方正楷体_GBK" w:cs="Times New Roman"/>
                <w:color w:val="000000"/>
                <w:kern w:val="0"/>
                <w:sz w:val="22"/>
              </w:rPr>
              <w:t>0</w:t>
            </w:r>
          </w:p>
        </w:tc>
        <w:tc>
          <w:tcPr>
            <w:tcW w:w="691" w:type="pct"/>
            <w:tcBorders>
              <w:top w:val="nil"/>
              <w:left w:val="nil"/>
              <w:bottom w:val="single" w:color="auto" w:sz="4" w:space="0"/>
              <w:right w:val="single" w:color="auto" w:sz="4" w:space="0"/>
            </w:tcBorders>
            <w:shd w:val="clear" w:color="000000" w:fill="FFFFFF"/>
            <w:vAlign w:val="center"/>
          </w:tcPr>
          <w:p w14:paraId="25CFF8B3">
            <w:pPr>
              <w:widowControl/>
              <w:spacing w:line="240" w:lineRule="auto"/>
              <w:ind w:firstLine="0" w:firstLineChars="0"/>
              <w:jc w:val="left"/>
              <w:rPr>
                <w:rFonts w:ascii="Times New Roman" w:hAnsi="Times New Roman" w:eastAsia="方正楷体_GBK" w:cs="Times New Roman"/>
                <w:color w:val="000000"/>
                <w:kern w:val="0"/>
                <w:sz w:val="22"/>
              </w:rPr>
            </w:pPr>
          </w:p>
        </w:tc>
      </w:tr>
      <w:tr w14:paraId="106A4A34">
        <w:tblPrEx>
          <w:tblCellMar>
            <w:top w:w="0" w:type="dxa"/>
            <w:left w:w="108" w:type="dxa"/>
            <w:bottom w:w="0" w:type="dxa"/>
            <w:right w:w="108" w:type="dxa"/>
          </w:tblCellMar>
        </w:tblPrEx>
        <w:trPr>
          <w:trHeight w:val="23" w:hRule="atLeast"/>
        </w:trPr>
        <w:tc>
          <w:tcPr>
            <w:tcW w:w="1074" w:type="pct"/>
            <w:gridSpan w:val="3"/>
            <w:tcBorders>
              <w:top w:val="single" w:color="auto" w:sz="4" w:space="0"/>
              <w:left w:val="single" w:color="auto" w:sz="4" w:space="0"/>
              <w:bottom w:val="single" w:color="auto" w:sz="4" w:space="0"/>
              <w:right w:val="single" w:color="000000" w:sz="4" w:space="0"/>
            </w:tcBorders>
            <w:shd w:val="clear" w:color="000000" w:fill="FFFFFF"/>
            <w:vAlign w:val="center"/>
          </w:tcPr>
          <w:p w14:paraId="1021A95B">
            <w:pPr>
              <w:widowControl/>
              <w:spacing w:line="240" w:lineRule="auto"/>
              <w:ind w:firstLine="0" w:firstLineChars="0"/>
              <w:jc w:val="center"/>
              <w:rPr>
                <w:rFonts w:ascii="Times New Roman" w:hAnsi="Times New Roman" w:eastAsia="方正楷体_GBK" w:cs="Times New Roman"/>
                <w:b/>
                <w:bCs/>
                <w:color w:val="000000"/>
                <w:kern w:val="0"/>
                <w:sz w:val="22"/>
              </w:rPr>
            </w:pPr>
            <w:r>
              <w:rPr>
                <w:rFonts w:ascii="Times New Roman" w:hAnsi="Times New Roman" w:eastAsia="方正楷体_GBK" w:cs="Times New Roman"/>
                <w:b/>
                <w:bCs/>
                <w:color w:val="000000"/>
                <w:kern w:val="0"/>
                <w:sz w:val="22"/>
              </w:rPr>
              <w:t>合计</w:t>
            </w:r>
          </w:p>
        </w:tc>
        <w:tc>
          <w:tcPr>
            <w:tcW w:w="795" w:type="pct"/>
            <w:tcBorders>
              <w:top w:val="nil"/>
              <w:left w:val="nil"/>
              <w:bottom w:val="single" w:color="auto" w:sz="4" w:space="0"/>
              <w:right w:val="single" w:color="auto" w:sz="4" w:space="0"/>
            </w:tcBorders>
            <w:shd w:val="clear" w:color="000000" w:fill="FFFFFF"/>
            <w:vAlign w:val="center"/>
          </w:tcPr>
          <w:p w14:paraId="18941D35">
            <w:pPr>
              <w:widowControl/>
              <w:spacing w:line="240" w:lineRule="auto"/>
              <w:ind w:firstLine="0" w:firstLineChars="0"/>
              <w:jc w:val="center"/>
              <w:rPr>
                <w:rFonts w:ascii="Times New Roman" w:hAnsi="Times New Roman" w:eastAsia="方正楷体_GBK" w:cs="Times New Roman"/>
                <w:b/>
                <w:bCs/>
                <w:color w:val="000000"/>
                <w:kern w:val="0"/>
                <w:sz w:val="22"/>
              </w:rPr>
            </w:pPr>
          </w:p>
        </w:tc>
        <w:tc>
          <w:tcPr>
            <w:tcW w:w="1634" w:type="pct"/>
            <w:tcBorders>
              <w:top w:val="nil"/>
              <w:left w:val="nil"/>
              <w:bottom w:val="single" w:color="auto" w:sz="4" w:space="0"/>
              <w:right w:val="single" w:color="auto" w:sz="4" w:space="0"/>
            </w:tcBorders>
            <w:shd w:val="clear" w:color="000000" w:fill="FFFFFF"/>
            <w:vAlign w:val="center"/>
          </w:tcPr>
          <w:p w14:paraId="18300927">
            <w:pPr>
              <w:widowControl/>
              <w:spacing w:line="240" w:lineRule="auto"/>
              <w:ind w:firstLine="0" w:firstLineChars="0"/>
              <w:jc w:val="left"/>
              <w:rPr>
                <w:rFonts w:ascii="Times New Roman" w:hAnsi="Times New Roman" w:eastAsia="方正楷体_GBK" w:cs="Times New Roman"/>
                <w:b/>
                <w:bCs/>
                <w:color w:val="000000"/>
                <w:kern w:val="0"/>
                <w:sz w:val="22"/>
              </w:rPr>
            </w:pPr>
          </w:p>
        </w:tc>
        <w:tc>
          <w:tcPr>
            <w:tcW w:w="277" w:type="pct"/>
            <w:tcBorders>
              <w:top w:val="nil"/>
              <w:left w:val="nil"/>
              <w:bottom w:val="single" w:color="auto" w:sz="4" w:space="0"/>
              <w:right w:val="single" w:color="auto" w:sz="4" w:space="0"/>
            </w:tcBorders>
            <w:shd w:val="clear" w:color="000000" w:fill="FFFFFF"/>
            <w:vAlign w:val="center"/>
          </w:tcPr>
          <w:p w14:paraId="6397770E">
            <w:pPr>
              <w:widowControl/>
              <w:spacing w:line="240" w:lineRule="auto"/>
              <w:ind w:firstLine="0" w:firstLineChars="0"/>
              <w:jc w:val="center"/>
              <w:rPr>
                <w:rFonts w:ascii="Times New Roman" w:hAnsi="Times New Roman" w:eastAsia="方正楷体_GBK" w:cs="Times New Roman"/>
                <w:b/>
                <w:bCs/>
                <w:color w:val="000000"/>
                <w:kern w:val="0"/>
                <w:sz w:val="22"/>
              </w:rPr>
            </w:pPr>
          </w:p>
        </w:tc>
        <w:tc>
          <w:tcPr>
            <w:tcW w:w="264" w:type="pct"/>
            <w:tcBorders>
              <w:top w:val="nil"/>
              <w:left w:val="nil"/>
              <w:bottom w:val="single" w:color="auto" w:sz="4" w:space="0"/>
              <w:right w:val="single" w:color="auto" w:sz="4" w:space="0"/>
            </w:tcBorders>
            <w:shd w:val="clear" w:color="000000" w:fill="FFFFFF"/>
            <w:vAlign w:val="center"/>
          </w:tcPr>
          <w:p w14:paraId="1D0029D8">
            <w:pPr>
              <w:widowControl/>
              <w:spacing w:line="240" w:lineRule="auto"/>
              <w:ind w:firstLine="0" w:firstLineChars="0"/>
              <w:jc w:val="center"/>
              <w:rPr>
                <w:rFonts w:ascii="Times New Roman" w:hAnsi="Times New Roman" w:eastAsia="方正楷体_GBK" w:cs="Times New Roman"/>
                <w:b/>
                <w:bCs/>
                <w:color w:val="000000"/>
                <w:kern w:val="0"/>
                <w:sz w:val="22"/>
              </w:rPr>
            </w:pPr>
            <w:r>
              <w:rPr>
                <w:rFonts w:ascii="Times New Roman" w:hAnsi="Times New Roman" w:eastAsia="方正楷体_GBK" w:cs="Times New Roman"/>
                <w:b/>
                <w:bCs/>
                <w:color w:val="000000"/>
                <w:kern w:val="0"/>
                <w:sz w:val="22"/>
              </w:rPr>
              <w:t>100</w:t>
            </w:r>
          </w:p>
        </w:tc>
        <w:tc>
          <w:tcPr>
            <w:tcW w:w="260" w:type="pct"/>
            <w:tcBorders>
              <w:top w:val="nil"/>
              <w:left w:val="nil"/>
              <w:bottom w:val="single" w:color="auto" w:sz="4" w:space="0"/>
              <w:right w:val="single" w:color="auto" w:sz="4" w:space="0"/>
            </w:tcBorders>
            <w:shd w:val="clear" w:color="000000" w:fill="FFFFFF"/>
            <w:vAlign w:val="center"/>
          </w:tcPr>
          <w:p w14:paraId="2939FCDA">
            <w:pPr>
              <w:widowControl/>
              <w:spacing w:line="240" w:lineRule="auto"/>
              <w:ind w:firstLine="0" w:firstLineChars="0"/>
              <w:jc w:val="center"/>
              <w:rPr>
                <w:rFonts w:ascii="Times New Roman" w:hAnsi="Times New Roman" w:eastAsia="方正楷体_GBK" w:cs="Times New Roman"/>
                <w:b/>
                <w:bCs/>
                <w:color w:val="000000"/>
                <w:kern w:val="0"/>
                <w:sz w:val="22"/>
              </w:rPr>
            </w:pPr>
            <w:r>
              <w:rPr>
                <w:rFonts w:ascii="Times New Roman" w:hAnsi="Times New Roman" w:eastAsia="方正楷体_GBK" w:cs="Times New Roman"/>
                <w:b/>
                <w:bCs/>
                <w:color w:val="000000"/>
                <w:kern w:val="0"/>
                <w:sz w:val="22"/>
              </w:rPr>
              <w:t>92.83</w:t>
            </w:r>
          </w:p>
        </w:tc>
        <w:tc>
          <w:tcPr>
            <w:tcW w:w="691" w:type="pct"/>
            <w:tcBorders>
              <w:top w:val="nil"/>
              <w:left w:val="nil"/>
              <w:bottom w:val="single" w:color="auto" w:sz="4" w:space="0"/>
              <w:right w:val="single" w:color="auto" w:sz="4" w:space="0"/>
            </w:tcBorders>
            <w:shd w:val="clear" w:color="000000" w:fill="FFFFFF"/>
            <w:vAlign w:val="center"/>
          </w:tcPr>
          <w:p w14:paraId="7B8E7166">
            <w:pPr>
              <w:widowControl/>
              <w:spacing w:line="240" w:lineRule="auto"/>
              <w:ind w:firstLine="0" w:firstLineChars="0"/>
              <w:jc w:val="left"/>
              <w:rPr>
                <w:rFonts w:ascii="Times New Roman" w:hAnsi="Times New Roman" w:eastAsia="方正楷体_GBK" w:cs="Times New Roman"/>
                <w:b/>
                <w:bCs/>
                <w:color w:val="000000"/>
                <w:kern w:val="0"/>
                <w:sz w:val="22"/>
              </w:rPr>
            </w:pPr>
          </w:p>
        </w:tc>
      </w:tr>
    </w:tbl>
    <w:p w14:paraId="30632D03">
      <w:pPr>
        <w:ind w:firstLine="640"/>
        <w:rPr>
          <w:rFonts w:ascii="Times New Roman" w:hAnsi="Times New Roman"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28C65">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80763">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99E06">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1BACE">
    <w:pPr>
      <w:pStyle w:val="8"/>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4021025">
                <w:pPr>
                  <w:pStyle w:val="8"/>
                  <w:ind w:firstLine="360"/>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B98B9">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3822">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7511">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664A6ACF"/>
    <w:rsid w:val="000B611A"/>
    <w:rsid w:val="002C4CE7"/>
    <w:rsid w:val="003E5EB0"/>
    <w:rsid w:val="00416EBB"/>
    <w:rsid w:val="00440D68"/>
    <w:rsid w:val="00672E90"/>
    <w:rsid w:val="006B1336"/>
    <w:rsid w:val="00847C72"/>
    <w:rsid w:val="00893551"/>
    <w:rsid w:val="00AC7C69"/>
    <w:rsid w:val="00B321CE"/>
    <w:rsid w:val="00BD5C95"/>
    <w:rsid w:val="00CF265B"/>
    <w:rsid w:val="00D338C9"/>
    <w:rsid w:val="00D77805"/>
    <w:rsid w:val="00DC265A"/>
    <w:rsid w:val="00E165D3"/>
    <w:rsid w:val="00FA4639"/>
    <w:rsid w:val="00FF4C56"/>
    <w:rsid w:val="014A2741"/>
    <w:rsid w:val="01582D32"/>
    <w:rsid w:val="01731813"/>
    <w:rsid w:val="01FA46E8"/>
    <w:rsid w:val="022F562C"/>
    <w:rsid w:val="02896D7B"/>
    <w:rsid w:val="02AA10D5"/>
    <w:rsid w:val="03564C72"/>
    <w:rsid w:val="035F1B98"/>
    <w:rsid w:val="038F201C"/>
    <w:rsid w:val="03E372A5"/>
    <w:rsid w:val="0496609D"/>
    <w:rsid w:val="04B77D52"/>
    <w:rsid w:val="04CE3A4C"/>
    <w:rsid w:val="04ED3F39"/>
    <w:rsid w:val="0592758C"/>
    <w:rsid w:val="05BD7122"/>
    <w:rsid w:val="05CA7BCB"/>
    <w:rsid w:val="06493C2C"/>
    <w:rsid w:val="06A36D5A"/>
    <w:rsid w:val="07750AAC"/>
    <w:rsid w:val="086F16D6"/>
    <w:rsid w:val="08CB3856"/>
    <w:rsid w:val="0950479C"/>
    <w:rsid w:val="097C42A9"/>
    <w:rsid w:val="09987FE5"/>
    <w:rsid w:val="09B06556"/>
    <w:rsid w:val="09B54D26"/>
    <w:rsid w:val="09BE3344"/>
    <w:rsid w:val="0A166E5C"/>
    <w:rsid w:val="0A174BB3"/>
    <w:rsid w:val="0A425029"/>
    <w:rsid w:val="0A6F2B7C"/>
    <w:rsid w:val="0A720EE4"/>
    <w:rsid w:val="0B544D01"/>
    <w:rsid w:val="0B7A7EC7"/>
    <w:rsid w:val="0BBB7930"/>
    <w:rsid w:val="0BF605C6"/>
    <w:rsid w:val="0C3372DC"/>
    <w:rsid w:val="0C7A65FA"/>
    <w:rsid w:val="0CF036D9"/>
    <w:rsid w:val="0D4F066C"/>
    <w:rsid w:val="0D551AD2"/>
    <w:rsid w:val="0D583C43"/>
    <w:rsid w:val="0E0B5025"/>
    <w:rsid w:val="0E2066D3"/>
    <w:rsid w:val="0E8D1261"/>
    <w:rsid w:val="0EEC17C0"/>
    <w:rsid w:val="0F0B7357"/>
    <w:rsid w:val="0FC21062"/>
    <w:rsid w:val="10532C72"/>
    <w:rsid w:val="10951265"/>
    <w:rsid w:val="11073D0F"/>
    <w:rsid w:val="11473708"/>
    <w:rsid w:val="11617BBE"/>
    <w:rsid w:val="11C55F39"/>
    <w:rsid w:val="11CE71A9"/>
    <w:rsid w:val="12135034"/>
    <w:rsid w:val="122B281B"/>
    <w:rsid w:val="122D27E7"/>
    <w:rsid w:val="12375A2F"/>
    <w:rsid w:val="12642A89"/>
    <w:rsid w:val="12682FD0"/>
    <w:rsid w:val="12F4735A"/>
    <w:rsid w:val="13F44C74"/>
    <w:rsid w:val="14814665"/>
    <w:rsid w:val="150E3B77"/>
    <w:rsid w:val="154024F1"/>
    <w:rsid w:val="15402EAD"/>
    <w:rsid w:val="157A21A1"/>
    <w:rsid w:val="159369FA"/>
    <w:rsid w:val="15E204F6"/>
    <w:rsid w:val="16BF52AA"/>
    <w:rsid w:val="171046CC"/>
    <w:rsid w:val="17851F3A"/>
    <w:rsid w:val="178A784A"/>
    <w:rsid w:val="18444705"/>
    <w:rsid w:val="186A6ED2"/>
    <w:rsid w:val="18734093"/>
    <w:rsid w:val="187C7721"/>
    <w:rsid w:val="187F4F00"/>
    <w:rsid w:val="18D82F6D"/>
    <w:rsid w:val="18FB4C66"/>
    <w:rsid w:val="191B52AD"/>
    <w:rsid w:val="19710F5F"/>
    <w:rsid w:val="197971D6"/>
    <w:rsid w:val="19E723F5"/>
    <w:rsid w:val="19F04154"/>
    <w:rsid w:val="19F95DB1"/>
    <w:rsid w:val="1A2E360D"/>
    <w:rsid w:val="1A9C779F"/>
    <w:rsid w:val="1AEF0E6D"/>
    <w:rsid w:val="1B16678A"/>
    <w:rsid w:val="1B3F1E3F"/>
    <w:rsid w:val="1B447E13"/>
    <w:rsid w:val="1B4C67EA"/>
    <w:rsid w:val="1BA36A5C"/>
    <w:rsid w:val="1BC16352"/>
    <w:rsid w:val="1BFA5FF5"/>
    <w:rsid w:val="1C216569"/>
    <w:rsid w:val="1C820612"/>
    <w:rsid w:val="1CCE6FEF"/>
    <w:rsid w:val="1CD36599"/>
    <w:rsid w:val="1CF40BF4"/>
    <w:rsid w:val="1D4619CC"/>
    <w:rsid w:val="1D7870D6"/>
    <w:rsid w:val="1D823637"/>
    <w:rsid w:val="1DA76FA2"/>
    <w:rsid w:val="1E2B60F5"/>
    <w:rsid w:val="1E356456"/>
    <w:rsid w:val="1E72337C"/>
    <w:rsid w:val="1E9D2C1C"/>
    <w:rsid w:val="1EEF0387"/>
    <w:rsid w:val="1F3D286B"/>
    <w:rsid w:val="1F5A1674"/>
    <w:rsid w:val="1F9E7064"/>
    <w:rsid w:val="1FB701B5"/>
    <w:rsid w:val="20AD4579"/>
    <w:rsid w:val="20B65EE7"/>
    <w:rsid w:val="20E07AB3"/>
    <w:rsid w:val="21A45C67"/>
    <w:rsid w:val="21A87DC6"/>
    <w:rsid w:val="22131C85"/>
    <w:rsid w:val="221F3A6D"/>
    <w:rsid w:val="222641F7"/>
    <w:rsid w:val="22601BBB"/>
    <w:rsid w:val="232A2984"/>
    <w:rsid w:val="238A52AC"/>
    <w:rsid w:val="23A51F12"/>
    <w:rsid w:val="240A62B9"/>
    <w:rsid w:val="243F6011"/>
    <w:rsid w:val="24807D6F"/>
    <w:rsid w:val="248C407D"/>
    <w:rsid w:val="249C40E4"/>
    <w:rsid w:val="24CC2729"/>
    <w:rsid w:val="24CF76F6"/>
    <w:rsid w:val="24EC25FC"/>
    <w:rsid w:val="25295B02"/>
    <w:rsid w:val="253633F5"/>
    <w:rsid w:val="25665B58"/>
    <w:rsid w:val="257C7979"/>
    <w:rsid w:val="25904FFB"/>
    <w:rsid w:val="26413512"/>
    <w:rsid w:val="26591456"/>
    <w:rsid w:val="266036E4"/>
    <w:rsid w:val="269A6006"/>
    <w:rsid w:val="26A677E6"/>
    <w:rsid w:val="26D46193"/>
    <w:rsid w:val="273046E9"/>
    <w:rsid w:val="27393268"/>
    <w:rsid w:val="28091F52"/>
    <w:rsid w:val="281E2CAA"/>
    <w:rsid w:val="286F3B43"/>
    <w:rsid w:val="287C23C7"/>
    <w:rsid w:val="28A87CAE"/>
    <w:rsid w:val="292B5A9A"/>
    <w:rsid w:val="293D6072"/>
    <w:rsid w:val="296C2259"/>
    <w:rsid w:val="29F25E21"/>
    <w:rsid w:val="2A174CE6"/>
    <w:rsid w:val="2A52389D"/>
    <w:rsid w:val="2A6C15F5"/>
    <w:rsid w:val="2AA63A9D"/>
    <w:rsid w:val="2AD558D9"/>
    <w:rsid w:val="2AEB17B1"/>
    <w:rsid w:val="2AFF28DA"/>
    <w:rsid w:val="2B102045"/>
    <w:rsid w:val="2B310CEE"/>
    <w:rsid w:val="2B383782"/>
    <w:rsid w:val="2BA923F6"/>
    <w:rsid w:val="2BDA61F5"/>
    <w:rsid w:val="2C43040F"/>
    <w:rsid w:val="2C7A4785"/>
    <w:rsid w:val="2CA351D9"/>
    <w:rsid w:val="2CFB72E1"/>
    <w:rsid w:val="2DC536CE"/>
    <w:rsid w:val="2DFF6D50"/>
    <w:rsid w:val="2E7A29F7"/>
    <w:rsid w:val="2E9C3B05"/>
    <w:rsid w:val="2EAD4426"/>
    <w:rsid w:val="2F1F7B1F"/>
    <w:rsid w:val="2F593F49"/>
    <w:rsid w:val="2F6C1DD0"/>
    <w:rsid w:val="2FC81D99"/>
    <w:rsid w:val="2FEA7DFF"/>
    <w:rsid w:val="2FF626FC"/>
    <w:rsid w:val="301E4BD9"/>
    <w:rsid w:val="30931322"/>
    <w:rsid w:val="31633505"/>
    <w:rsid w:val="31E24F96"/>
    <w:rsid w:val="31EF12BC"/>
    <w:rsid w:val="320711BA"/>
    <w:rsid w:val="320F1F7F"/>
    <w:rsid w:val="321E1DDB"/>
    <w:rsid w:val="32781B4D"/>
    <w:rsid w:val="3289792A"/>
    <w:rsid w:val="32996C4A"/>
    <w:rsid w:val="32D553D8"/>
    <w:rsid w:val="32E1183A"/>
    <w:rsid w:val="338B4F6B"/>
    <w:rsid w:val="33A23E38"/>
    <w:rsid w:val="343852D5"/>
    <w:rsid w:val="34467CF6"/>
    <w:rsid w:val="345C2282"/>
    <w:rsid w:val="34A82620"/>
    <w:rsid w:val="34C13B17"/>
    <w:rsid w:val="34C506AC"/>
    <w:rsid w:val="351E15C7"/>
    <w:rsid w:val="353A5AEA"/>
    <w:rsid w:val="357702F1"/>
    <w:rsid w:val="35935F8A"/>
    <w:rsid w:val="35F544D2"/>
    <w:rsid w:val="36025DED"/>
    <w:rsid w:val="36BF5392"/>
    <w:rsid w:val="36EA2DB6"/>
    <w:rsid w:val="36F35726"/>
    <w:rsid w:val="37425F90"/>
    <w:rsid w:val="37606889"/>
    <w:rsid w:val="37A36740"/>
    <w:rsid w:val="37DB51A3"/>
    <w:rsid w:val="3835792C"/>
    <w:rsid w:val="3892083C"/>
    <w:rsid w:val="38A325E3"/>
    <w:rsid w:val="38B04582"/>
    <w:rsid w:val="38DF2377"/>
    <w:rsid w:val="38FF14E9"/>
    <w:rsid w:val="392D5D9C"/>
    <w:rsid w:val="394968D6"/>
    <w:rsid w:val="3996445C"/>
    <w:rsid w:val="39C646D4"/>
    <w:rsid w:val="3A750526"/>
    <w:rsid w:val="3A8232AC"/>
    <w:rsid w:val="3AC3255A"/>
    <w:rsid w:val="3B1C136B"/>
    <w:rsid w:val="3B494D9F"/>
    <w:rsid w:val="3B712CF1"/>
    <w:rsid w:val="3B8333A6"/>
    <w:rsid w:val="3B8923A7"/>
    <w:rsid w:val="3B9C498B"/>
    <w:rsid w:val="3C5F2A20"/>
    <w:rsid w:val="3CB65160"/>
    <w:rsid w:val="3CB83A99"/>
    <w:rsid w:val="3CCC44DE"/>
    <w:rsid w:val="3CFF3212"/>
    <w:rsid w:val="3D01383E"/>
    <w:rsid w:val="3D2656C2"/>
    <w:rsid w:val="3D5B62E1"/>
    <w:rsid w:val="3D694E12"/>
    <w:rsid w:val="3D7019C0"/>
    <w:rsid w:val="3D787F52"/>
    <w:rsid w:val="3E0129F8"/>
    <w:rsid w:val="3E0F1B09"/>
    <w:rsid w:val="3E8F2087"/>
    <w:rsid w:val="3EA07AFD"/>
    <w:rsid w:val="3F54188C"/>
    <w:rsid w:val="3F59579A"/>
    <w:rsid w:val="3F635AFB"/>
    <w:rsid w:val="3F8B02A0"/>
    <w:rsid w:val="3FD82CD8"/>
    <w:rsid w:val="3FF0006C"/>
    <w:rsid w:val="40101691"/>
    <w:rsid w:val="40313C07"/>
    <w:rsid w:val="40733625"/>
    <w:rsid w:val="40786298"/>
    <w:rsid w:val="40A36DD8"/>
    <w:rsid w:val="40EB4050"/>
    <w:rsid w:val="40EE26F1"/>
    <w:rsid w:val="40F64EEF"/>
    <w:rsid w:val="40FD3678"/>
    <w:rsid w:val="41165BB3"/>
    <w:rsid w:val="412A21D6"/>
    <w:rsid w:val="413568B3"/>
    <w:rsid w:val="41865775"/>
    <w:rsid w:val="418F1EC5"/>
    <w:rsid w:val="41E53F75"/>
    <w:rsid w:val="41F90870"/>
    <w:rsid w:val="426E0F0B"/>
    <w:rsid w:val="42CA7BA0"/>
    <w:rsid w:val="42DC1550"/>
    <w:rsid w:val="432B140B"/>
    <w:rsid w:val="4384336A"/>
    <w:rsid w:val="43A630D7"/>
    <w:rsid w:val="4410308D"/>
    <w:rsid w:val="444B08FD"/>
    <w:rsid w:val="44B83490"/>
    <w:rsid w:val="44D84530"/>
    <w:rsid w:val="44E0038E"/>
    <w:rsid w:val="44EA425D"/>
    <w:rsid w:val="453C6BB8"/>
    <w:rsid w:val="453D0321"/>
    <w:rsid w:val="45804B87"/>
    <w:rsid w:val="45E13D3D"/>
    <w:rsid w:val="460D16AA"/>
    <w:rsid w:val="46523545"/>
    <w:rsid w:val="46863258"/>
    <w:rsid w:val="46870420"/>
    <w:rsid w:val="47543110"/>
    <w:rsid w:val="48494618"/>
    <w:rsid w:val="48511B74"/>
    <w:rsid w:val="486C0435"/>
    <w:rsid w:val="48A02E4D"/>
    <w:rsid w:val="48C63B94"/>
    <w:rsid w:val="48E51B23"/>
    <w:rsid w:val="49071D53"/>
    <w:rsid w:val="49196410"/>
    <w:rsid w:val="493C2F8B"/>
    <w:rsid w:val="4A756E89"/>
    <w:rsid w:val="4A777186"/>
    <w:rsid w:val="4A897144"/>
    <w:rsid w:val="4AC30B90"/>
    <w:rsid w:val="4AE42E7D"/>
    <w:rsid w:val="4AE63466"/>
    <w:rsid w:val="4B546E13"/>
    <w:rsid w:val="4BB80170"/>
    <w:rsid w:val="4C766CB6"/>
    <w:rsid w:val="4C8A6D58"/>
    <w:rsid w:val="4CC96449"/>
    <w:rsid w:val="4CFF406A"/>
    <w:rsid w:val="4D3500FB"/>
    <w:rsid w:val="4D605570"/>
    <w:rsid w:val="4D6678FB"/>
    <w:rsid w:val="4D887C6E"/>
    <w:rsid w:val="4DBF2461"/>
    <w:rsid w:val="4DD068F3"/>
    <w:rsid w:val="4E110FD3"/>
    <w:rsid w:val="4E1D0DE6"/>
    <w:rsid w:val="4E8C69DC"/>
    <w:rsid w:val="4ECA3AF7"/>
    <w:rsid w:val="4F0273DA"/>
    <w:rsid w:val="4F6E7759"/>
    <w:rsid w:val="4FC13FA4"/>
    <w:rsid w:val="4FE662A0"/>
    <w:rsid w:val="4FF40B2A"/>
    <w:rsid w:val="501149EB"/>
    <w:rsid w:val="501E7535"/>
    <w:rsid w:val="50475727"/>
    <w:rsid w:val="508A4159"/>
    <w:rsid w:val="509574E0"/>
    <w:rsid w:val="512D2300"/>
    <w:rsid w:val="514C7446"/>
    <w:rsid w:val="514F6505"/>
    <w:rsid w:val="51635057"/>
    <w:rsid w:val="5176258B"/>
    <w:rsid w:val="51943392"/>
    <w:rsid w:val="5198312C"/>
    <w:rsid w:val="51A16687"/>
    <w:rsid w:val="51BA67C8"/>
    <w:rsid w:val="51C14460"/>
    <w:rsid w:val="51C52380"/>
    <w:rsid w:val="51C709D0"/>
    <w:rsid w:val="51E05FA0"/>
    <w:rsid w:val="521B2721"/>
    <w:rsid w:val="52F25F71"/>
    <w:rsid w:val="537E1A2A"/>
    <w:rsid w:val="53AE08B2"/>
    <w:rsid w:val="541648AC"/>
    <w:rsid w:val="54264F44"/>
    <w:rsid w:val="547E62CB"/>
    <w:rsid w:val="548D1A91"/>
    <w:rsid w:val="549F01FC"/>
    <w:rsid w:val="54EB632F"/>
    <w:rsid w:val="55484810"/>
    <w:rsid w:val="55832A81"/>
    <w:rsid w:val="55AA7CB3"/>
    <w:rsid w:val="55DC644B"/>
    <w:rsid w:val="55F874D8"/>
    <w:rsid w:val="560D13C9"/>
    <w:rsid w:val="563C5106"/>
    <w:rsid w:val="56641C00"/>
    <w:rsid w:val="56970143"/>
    <w:rsid w:val="579E5550"/>
    <w:rsid w:val="58AE1C1A"/>
    <w:rsid w:val="58F10567"/>
    <w:rsid w:val="594611C3"/>
    <w:rsid w:val="59875A03"/>
    <w:rsid w:val="59A6502A"/>
    <w:rsid w:val="59E944AA"/>
    <w:rsid w:val="5A0542D7"/>
    <w:rsid w:val="5A6542FE"/>
    <w:rsid w:val="5A7C5EE2"/>
    <w:rsid w:val="5ABF766C"/>
    <w:rsid w:val="5AD84544"/>
    <w:rsid w:val="5B605421"/>
    <w:rsid w:val="5B8C1922"/>
    <w:rsid w:val="5B991F01"/>
    <w:rsid w:val="5B9E0010"/>
    <w:rsid w:val="5BBB0674"/>
    <w:rsid w:val="5C5D0DC8"/>
    <w:rsid w:val="5C750DD0"/>
    <w:rsid w:val="5C9E5166"/>
    <w:rsid w:val="5CCC5A8A"/>
    <w:rsid w:val="5D7E569A"/>
    <w:rsid w:val="5DE37D7B"/>
    <w:rsid w:val="5E2B45E1"/>
    <w:rsid w:val="5F3376D9"/>
    <w:rsid w:val="5F7E3C37"/>
    <w:rsid w:val="5FB30F75"/>
    <w:rsid w:val="5FBC5C76"/>
    <w:rsid w:val="5FF76A07"/>
    <w:rsid w:val="5FFB557A"/>
    <w:rsid w:val="6018206A"/>
    <w:rsid w:val="601B0187"/>
    <w:rsid w:val="60BC489A"/>
    <w:rsid w:val="6116103F"/>
    <w:rsid w:val="617B7CB9"/>
    <w:rsid w:val="61D10404"/>
    <w:rsid w:val="61DF6195"/>
    <w:rsid w:val="61E4528B"/>
    <w:rsid w:val="621E12E5"/>
    <w:rsid w:val="624E2157"/>
    <w:rsid w:val="625A16A8"/>
    <w:rsid w:val="62CB4F2D"/>
    <w:rsid w:val="62FD2DD2"/>
    <w:rsid w:val="636941AC"/>
    <w:rsid w:val="63ED1590"/>
    <w:rsid w:val="64401376"/>
    <w:rsid w:val="64D7413C"/>
    <w:rsid w:val="64DD1EA8"/>
    <w:rsid w:val="64E44A61"/>
    <w:rsid w:val="65F601A6"/>
    <w:rsid w:val="662A25F8"/>
    <w:rsid w:val="662B7641"/>
    <w:rsid w:val="66436E17"/>
    <w:rsid w:val="664A6ACF"/>
    <w:rsid w:val="677F301E"/>
    <w:rsid w:val="68134044"/>
    <w:rsid w:val="684E3013"/>
    <w:rsid w:val="68525A39"/>
    <w:rsid w:val="68825EC1"/>
    <w:rsid w:val="68E85458"/>
    <w:rsid w:val="69305143"/>
    <w:rsid w:val="69566E6D"/>
    <w:rsid w:val="6A040A94"/>
    <w:rsid w:val="6A6113D5"/>
    <w:rsid w:val="6AA80B2F"/>
    <w:rsid w:val="6ADC2900"/>
    <w:rsid w:val="6B171066"/>
    <w:rsid w:val="6B606A50"/>
    <w:rsid w:val="6B9A7B6E"/>
    <w:rsid w:val="6BEF4725"/>
    <w:rsid w:val="6CAC0795"/>
    <w:rsid w:val="6CE00BE9"/>
    <w:rsid w:val="6CF97A1C"/>
    <w:rsid w:val="6D034BC5"/>
    <w:rsid w:val="6D471FB5"/>
    <w:rsid w:val="6D6269C9"/>
    <w:rsid w:val="6E327057"/>
    <w:rsid w:val="6EA2170E"/>
    <w:rsid w:val="6EFC7C1B"/>
    <w:rsid w:val="6F3267D4"/>
    <w:rsid w:val="6F38309D"/>
    <w:rsid w:val="6FAD534E"/>
    <w:rsid w:val="70CE10D7"/>
    <w:rsid w:val="71063CEE"/>
    <w:rsid w:val="71414BE0"/>
    <w:rsid w:val="71F0492E"/>
    <w:rsid w:val="726478B1"/>
    <w:rsid w:val="730D3792"/>
    <w:rsid w:val="735F3BD9"/>
    <w:rsid w:val="73CC2082"/>
    <w:rsid w:val="73D64187"/>
    <w:rsid w:val="73E8414A"/>
    <w:rsid w:val="742B7AD3"/>
    <w:rsid w:val="748A7EE0"/>
    <w:rsid w:val="74AD3951"/>
    <w:rsid w:val="74E63820"/>
    <w:rsid w:val="751326C5"/>
    <w:rsid w:val="75377255"/>
    <w:rsid w:val="755D0993"/>
    <w:rsid w:val="759F4511"/>
    <w:rsid w:val="76711EFB"/>
    <w:rsid w:val="76855C67"/>
    <w:rsid w:val="76DD4CB1"/>
    <w:rsid w:val="778B0AB3"/>
    <w:rsid w:val="779E40CB"/>
    <w:rsid w:val="77A13C44"/>
    <w:rsid w:val="77A366FD"/>
    <w:rsid w:val="7806164C"/>
    <w:rsid w:val="784B6766"/>
    <w:rsid w:val="789E6657"/>
    <w:rsid w:val="789F7B36"/>
    <w:rsid w:val="78A72088"/>
    <w:rsid w:val="78B212D4"/>
    <w:rsid w:val="791043E8"/>
    <w:rsid w:val="7A1A31A5"/>
    <w:rsid w:val="7A396F63"/>
    <w:rsid w:val="7A4D34A7"/>
    <w:rsid w:val="7ABD5C6C"/>
    <w:rsid w:val="7AD144BB"/>
    <w:rsid w:val="7B185377"/>
    <w:rsid w:val="7B3E1BDE"/>
    <w:rsid w:val="7B8747C1"/>
    <w:rsid w:val="7CFF55F0"/>
    <w:rsid w:val="7D4460A8"/>
    <w:rsid w:val="7D5E70CA"/>
    <w:rsid w:val="7D661915"/>
    <w:rsid w:val="7D8B79C3"/>
    <w:rsid w:val="7D95726C"/>
    <w:rsid w:val="7DBC706A"/>
    <w:rsid w:val="7DFC2AF2"/>
    <w:rsid w:val="7E131336"/>
    <w:rsid w:val="7E241228"/>
    <w:rsid w:val="7F394300"/>
    <w:rsid w:val="7F4171D8"/>
    <w:rsid w:val="7FF56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20" w:lineRule="exact"/>
      <w:ind w:firstLine="880" w:firstLineChars="200"/>
      <w:jc w:val="both"/>
    </w:pPr>
    <w:rPr>
      <w:rFonts w:eastAsia="方正仿宋_GBK" w:asciiTheme="minorHAnsi" w:hAnsiTheme="minorHAnsi" w:cstheme="minorBidi"/>
      <w:kern w:val="2"/>
      <w:sz w:val="30"/>
      <w:szCs w:val="22"/>
      <w:lang w:val="en-US" w:eastAsia="zh-CN" w:bidi="ar-SA"/>
    </w:rPr>
  </w:style>
  <w:style w:type="paragraph" w:styleId="2">
    <w:name w:val="heading 1"/>
    <w:basedOn w:val="1"/>
    <w:next w:val="1"/>
    <w:qFormat/>
    <w:uiPriority w:val="9"/>
    <w:pPr>
      <w:keepNext/>
      <w:keepLines/>
      <w:outlineLvl w:val="0"/>
    </w:pPr>
    <w:rPr>
      <w:rFonts w:eastAsia="方正黑体_GBK"/>
      <w:bCs/>
      <w:kern w:val="44"/>
      <w:sz w:val="32"/>
      <w:szCs w:val="44"/>
    </w:rPr>
  </w:style>
  <w:style w:type="paragraph" w:styleId="3">
    <w:name w:val="heading 2"/>
    <w:basedOn w:val="1"/>
    <w:next w:val="1"/>
    <w:unhideWhenUsed/>
    <w:qFormat/>
    <w:uiPriority w:val="9"/>
    <w:pPr>
      <w:keepNext/>
      <w:keepLines/>
      <w:spacing w:line="560" w:lineRule="exact"/>
      <w:outlineLvl w:val="1"/>
    </w:pPr>
    <w:rPr>
      <w:rFonts w:ascii="楷体" w:hAnsi="楷体" w:eastAsia="楷体" w:cstheme="majorBidi"/>
      <w:bCs/>
      <w:sz w:val="32"/>
      <w:szCs w:val="32"/>
    </w:rPr>
  </w:style>
  <w:style w:type="paragraph" w:styleId="4">
    <w:name w:val="heading 3"/>
    <w:basedOn w:val="1"/>
    <w:next w:val="1"/>
    <w:unhideWhenUsed/>
    <w:qFormat/>
    <w:uiPriority w:val="9"/>
    <w:pPr>
      <w:keepNext/>
      <w:keepLines/>
      <w:outlineLvl w:val="2"/>
    </w:pPr>
    <w:rPr>
      <w:rFonts w:ascii="仿宋" w:hAnsi="仿宋" w:eastAsia="仿宋"/>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99"/>
    <w:pPr>
      <w:spacing w:after="120"/>
    </w:pPr>
    <w:rPr>
      <w:rFonts w:eastAsia="仿宋_GB2312"/>
      <w:szCs w:val="20"/>
    </w:rPr>
  </w:style>
  <w:style w:type="paragraph" w:styleId="6">
    <w:name w:val="Body Text Indent"/>
    <w:basedOn w:val="1"/>
    <w:next w:val="1"/>
    <w:qFormat/>
    <w:uiPriority w:val="0"/>
    <w:pPr>
      <w:ind w:left="4199" w:leftChars="1733" w:hanging="560" w:hangingChars="200"/>
    </w:pPr>
    <w:rPr>
      <w:rFonts w:ascii="Times New Roman" w:hAnsi="Times New Roman" w:eastAsia="宋体" w:cs="Times New Roman"/>
      <w:sz w:val="28"/>
      <w:szCs w:val="24"/>
    </w:rPr>
  </w:style>
  <w:style w:type="paragraph" w:styleId="7">
    <w:name w:val="Balloon Text"/>
    <w:basedOn w:val="1"/>
    <w:link w:val="17"/>
    <w:qFormat/>
    <w:uiPriority w:val="0"/>
    <w:pPr>
      <w:spacing w:line="240" w:lineRule="auto"/>
    </w:pPr>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table" w:customStyle="1" w:styleId="14">
    <w:name w:val="Table Normal"/>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15">
    <w:name w:val="font21"/>
    <w:basedOn w:val="13"/>
    <w:qFormat/>
    <w:uiPriority w:val="0"/>
    <w:rPr>
      <w:rFonts w:hint="default" w:ascii="Times New Roman" w:hAnsi="Times New Roman" w:cs="Times New Roman"/>
      <w:color w:val="000000"/>
      <w:sz w:val="32"/>
      <w:szCs w:val="32"/>
      <w:u w:val="none"/>
    </w:rPr>
  </w:style>
  <w:style w:type="character" w:customStyle="1" w:styleId="16">
    <w:name w:val="font11"/>
    <w:basedOn w:val="13"/>
    <w:qFormat/>
    <w:uiPriority w:val="0"/>
    <w:rPr>
      <w:rFonts w:hint="eastAsia" w:ascii="方正仿宋_GBK" w:hAnsi="方正仿宋_GBK" w:eastAsia="方正仿宋_GBK" w:cs="方正仿宋_GBK"/>
      <w:color w:val="000000"/>
      <w:sz w:val="32"/>
      <w:szCs w:val="32"/>
      <w:u w:val="none"/>
    </w:rPr>
  </w:style>
  <w:style w:type="character" w:customStyle="1" w:styleId="17">
    <w:name w:val="批注框文本 Char"/>
    <w:basedOn w:val="13"/>
    <w:link w:val="7"/>
    <w:qFormat/>
    <w:uiPriority w:val="0"/>
    <w:rPr>
      <w:rFonts w:eastAsia="方正仿宋_GBK" w:asciiTheme="minorHAnsi" w:hAnsiTheme="minorHAnsi" w:cstheme="minorBidi"/>
      <w:kern w:val="2"/>
      <w:sz w:val="18"/>
      <w:szCs w:val="18"/>
    </w:rPr>
  </w:style>
  <w:style w:type="paragraph" w:customStyle="1" w:styleId="18">
    <w:name w:val="手册正文"/>
    <w:basedOn w:val="1"/>
    <w:qFormat/>
    <w:uiPriority w:val="99"/>
    <w:pPr>
      <w:topLinePunct/>
      <w:snapToGrid w:val="0"/>
      <w:spacing w:line="560" w:lineRule="exact"/>
      <w:ind w:firstLine="200"/>
      <w:jc w:val="center"/>
    </w:pPr>
    <w:rPr>
      <w:rFonts w:ascii="Times New Roman" w:hAnsi="Times New Roman"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7686</Words>
  <Characters>8152</Characters>
  <Lines>28</Lines>
  <Paragraphs>38</Paragraphs>
  <TotalTime>11</TotalTime>
  <ScaleCrop>false</ScaleCrop>
  <LinksUpToDate>false</LinksUpToDate>
  <CharactersWithSpaces>8221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2025-07-09T07:01:00Z</dcterms:created>
  <dc:creator>未嘢</dc:creator>
  <cp:lastModifiedBy>Sherlock</cp:lastModifiedBy>
  <dcterms:modified xsi:type="dcterms:W3CDTF">2025-09-28T03:51:42Z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50FE34CB799D479397F25A61FF2E58A3_13</vt:lpwstr>
  </property>
  <property fmtid="{D5CDD505-2E9C-101B-9397-08002B2CF9AE}" pid="4" name="KSOTemplateDocerSaveRecord">
    <vt:lpwstr>eyJoZGlkIjoiYTc5MTViNjcxZTk0Yjk0NmVhODA5ZmYxZjdiMTYxMzUiLCJ1c2VySWQiOiI0MzE0MzcxODYifQ==</vt:lpwstr>
  </property>
</Properties>
</file>