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22" w:rsidRDefault="00546122">
      <w:pPr>
        <w:spacing w:line="240" w:lineRule="auto"/>
        <w:ind w:firstLineChars="0" w:firstLine="0"/>
        <w:jc w:val="center"/>
        <w:rPr>
          <w:rFonts w:eastAsia="方正公文小标宋"/>
          <w:b/>
          <w:bCs/>
          <w:sz w:val="44"/>
          <w:szCs w:val="44"/>
        </w:rPr>
      </w:pPr>
    </w:p>
    <w:p w:rsidR="00546122" w:rsidRDefault="00546122">
      <w:pPr>
        <w:spacing w:line="240" w:lineRule="auto"/>
        <w:ind w:firstLineChars="0" w:firstLine="0"/>
        <w:jc w:val="center"/>
        <w:rPr>
          <w:rFonts w:eastAsia="方正公文小标宋"/>
          <w:b/>
          <w:bCs/>
          <w:sz w:val="44"/>
          <w:szCs w:val="44"/>
        </w:rPr>
      </w:pPr>
    </w:p>
    <w:p w:rsidR="00546122" w:rsidRDefault="00FA1383">
      <w:pPr>
        <w:spacing w:line="240" w:lineRule="auto"/>
        <w:ind w:firstLineChars="0" w:firstLine="0"/>
        <w:jc w:val="center"/>
        <w:rPr>
          <w:rFonts w:eastAsia="方正公文小标宋"/>
          <w:sz w:val="44"/>
          <w:szCs w:val="44"/>
        </w:rPr>
      </w:pPr>
      <w:r>
        <w:rPr>
          <w:rFonts w:eastAsia="方正公文小标宋" w:hint="eastAsia"/>
          <w:sz w:val="44"/>
          <w:szCs w:val="44"/>
        </w:rPr>
        <w:t>2024</w:t>
      </w:r>
      <w:r>
        <w:rPr>
          <w:rFonts w:eastAsia="方正公文小标宋"/>
          <w:sz w:val="44"/>
          <w:szCs w:val="44"/>
        </w:rPr>
        <w:t>年度南京市发展和改革委员会</w:t>
      </w:r>
    </w:p>
    <w:p w:rsidR="00546122" w:rsidRDefault="00FA1383">
      <w:pPr>
        <w:spacing w:line="240" w:lineRule="auto"/>
        <w:ind w:firstLineChars="0" w:firstLine="0"/>
        <w:jc w:val="center"/>
        <w:rPr>
          <w:rFonts w:eastAsia="方正公文小标宋"/>
          <w:b/>
          <w:bCs/>
          <w:sz w:val="44"/>
          <w:szCs w:val="44"/>
        </w:rPr>
      </w:pPr>
      <w:r>
        <w:rPr>
          <w:rFonts w:eastAsia="方正公文小标宋"/>
          <w:sz w:val="44"/>
          <w:szCs w:val="44"/>
        </w:rPr>
        <w:t>——</w:t>
      </w:r>
      <w:r>
        <w:rPr>
          <w:rFonts w:eastAsia="方正公文小标宋"/>
          <w:sz w:val="44"/>
          <w:szCs w:val="44"/>
        </w:rPr>
        <w:t>南京市宏观经济研究中心整体预算绩效自评价报告</w:t>
      </w:r>
    </w:p>
    <w:p w:rsidR="00546122" w:rsidRDefault="00546122">
      <w:pPr>
        <w:spacing w:line="240" w:lineRule="auto"/>
        <w:ind w:firstLineChars="0" w:firstLine="0"/>
        <w:jc w:val="center"/>
        <w:rPr>
          <w:rFonts w:eastAsia="方正公文小标宋"/>
          <w:b/>
          <w:bCs/>
          <w:sz w:val="44"/>
          <w:szCs w:val="44"/>
        </w:rPr>
      </w:pPr>
    </w:p>
    <w:p w:rsidR="00546122" w:rsidRDefault="00546122">
      <w:pPr>
        <w:ind w:firstLine="961"/>
        <w:jc w:val="center"/>
        <w:rPr>
          <w:rFonts w:eastAsia="华文宋体"/>
          <w:b/>
          <w:sz w:val="48"/>
          <w:szCs w:val="44"/>
        </w:rPr>
      </w:pPr>
    </w:p>
    <w:p w:rsidR="00546122" w:rsidRDefault="00546122">
      <w:pPr>
        <w:ind w:firstLine="961"/>
        <w:jc w:val="center"/>
        <w:rPr>
          <w:rFonts w:eastAsia="华文宋体"/>
          <w:b/>
          <w:sz w:val="48"/>
          <w:szCs w:val="44"/>
        </w:rPr>
      </w:pPr>
    </w:p>
    <w:p w:rsidR="00546122" w:rsidRDefault="00546122">
      <w:pPr>
        <w:ind w:firstLine="961"/>
        <w:jc w:val="center"/>
        <w:rPr>
          <w:rFonts w:eastAsia="华文宋体"/>
          <w:b/>
          <w:sz w:val="48"/>
          <w:szCs w:val="44"/>
        </w:rPr>
      </w:pPr>
    </w:p>
    <w:p w:rsidR="00546122" w:rsidRDefault="00546122">
      <w:pPr>
        <w:ind w:firstLine="961"/>
        <w:rPr>
          <w:rFonts w:eastAsia="华文宋体"/>
          <w:b/>
          <w:sz w:val="48"/>
          <w:szCs w:val="44"/>
        </w:rPr>
      </w:pPr>
    </w:p>
    <w:p w:rsidR="00546122" w:rsidRDefault="00546122">
      <w:pPr>
        <w:pStyle w:val="a5"/>
        <w:ind w:firstLine="1081"/>
        <w:rPr>
          <w:rFonts w:eastAsia="华文宋体"/>
          <w:b/>
          <w:sz w:val="48"/>
          <w:szCs w:val="44"/>
        </w:rPr>
      </w:pPr>
    </w:p>
    <w:p w:rsidR="00546122" w:rsidRDefault="00546122">
      <w:pPr>
        <w:ind w:firstLine="961"/>
        <w:rPr>
          <w:rFonts w:eastAsia="华文宋体"/>
          <w:b/>
          <w:sz w:val="48"/>
          <w:szCs w:val="44"/>
        </w:rPr>
      </w:pPr>
    </w:p>
    <w:p w:rsidR="00546122" w:rsidRDefault="00546122">
      <w:pPr>
        <w:ind w:firstLine="803"/>
        <w:jc w:val="center"/>
        <w:rPr>
          <w:b/>
          <w:sz w:val="40"/>
          <w:szCs w:val="44"/>
        </w:rPr>
      </w:pPr>
    </w:p>
    <w:p w:rsidR="00546122" w:rsidRDefault="00546122">
      <w:pPr>
        <w:pStyle w:val="a5"/>
        <w:ind w:firstLine="904"/>
        <w:rPr>
          <w:b/>
          <w:sz w:val="40"/>
          <w:szCs w:val="44"/>
        </w:rPr>
      </w:pPr>
    </w:p>
    <w:p w:rsidR="00546122" w:rsidRDefault="00546122">
      <w:pPr>
        <w:ind w:firstLine="803"/>
        <w:rPr>
          <w:b/>
          <w:sz w:val="40"/>
          <w:szCs w:val="44"/>
        </w:rPr>
      </w:pPr>
    </w:p>
    <w:p w:rsidR="00546122" w:rsidRDefault="00546122">
      <w:pPr>
        <w:pStyle w:val="a5"/>
        <w:ind w:firstLine="904"/>
        <w:rPr>
          <w:b/>
          <w:sz w:val="40"/>
          <w:szCs w:val="44"/>
        </w:rPr>
      </w:pPr>
    </w:p>
    <w:p w:rsidR="00546122" w:rsidRDefault="00546122">
      <w:pPr>
        <w:ind w:firstLine="560"/>
      </w:pPr>
    </w:p>
    <w:p w:rsidR="00546122" w:rsidRDefault="00FA1383">
      <w:pPr>
        <w:ind w:firstLine="803"/>
        <w:jc w:val="center"/>
        <w:rPr>
          <w:b/>
          <w:sz w:val="40"/>
          <w:szCs w:val="44"/>
        </w:rPr>
        <w:sectPr w:rsidR="00546122">
          <w:headerReference w:type="even" r:id="rId7"/>
          <w:headerReference w:type="default" r:id="rId8"/>
          <w:footerReference w:type="even" r:id="rId9"/>
          <w:footerReference w:type="default" r:id="rId10"/>
          <w:headerReference w:type="first" r:id="rId11"/>
          <w:footerReference w:type="first" r:id="rId12"/>
          <w:pgSz w:w="12240" w:h="15840"/>
          <w:pgMar w:top="2098" w:right="1800" w:bottom="1440" w:left="1800" w:header="720" w:footer="720" w:gutter="0"/>
          <w:pgNumType w:start="1"/>
          <w:cols w:space="0"/>
          <w:docGrid w:type="lines" w:linePitch="315"/>
        </w:sectPr>
      </w:pPr>
      <w:r>
        <w:rPr>
          <w:b/>
          <w:sz w:val="40"/>
          <w:szCs w:val="44"/>
        </w:rPr>
        <w:t>二〇二</w:t>
      </w:r>
      <w:r>
        <w:rPr>
          <w:rFonts w:hint="eastAsia"/>
          <w:b/>
          <w:sz w:val="40"/>
          <w:szCs w:val="44"/>
        </w:rPr>
        <w:t>五</w:t>
      </w:r>
      <w:r>
        <w:rPr>
          <w:b/>
          <w:sz w:val="40"/>
          <w:szCs w:val="44"/>
        </w:rPr>
        <w:t>年</w:t>
      </w:r>
      <w:r>
        <w:rPr>
          <w:rFonts w:hint="eastAsia"/>
          <w:b/>
          <w:sz w:val="40"/>
          <w:szCs w:val="44"/>
        </w:rPr>
        <w:t>六</w:t>
      </w:r>
      <w:r>
        <w:rPr>
          <w:b/>
          <w:sz w:val="40"/>
          <w:szCs w:val="44"/>
        </w:rPr>
        <w:t>月</w:t>
      </w:r>
    </w:p>
    <w:p w:rsidR="00546122" w:rsidRDefault="00FA1383">
      <w:pPr>
        <w:spacing w:line="700" w:lineRule="exact"/>
        <w:ind w:firstLineChars="0" w:firstLine="0"/>
        <w:jc w:val="center"/>
        <w:rPr>
          <w:rFonts w:eastAsia="方正小标宋_GBK"/>
          <w:sz w:val="44"/>
          <w:szCs w:val="44"/>
        </w:rPr>
      </w:pPr>
      <w:r>
        <w:rPr>
          <w:rFonts w:eastAsia="方正小标宋_GBK" w:hint="eastAsia"/>
          <w:sz w:val="44"/>
          <w:szCs w:val="44"/>
        </w:rPr>
        <w:lastRenderedPageBreak/>
        <w:t>2024</w:t>
      </w:r>
      <w:r>
        <w:rPr>
          <w:rFonts w:eastAsia="方正小标宋_GBK"/>
          <w:sz w:val="44"/>
          <w:szCs w:val="44"/>
        </w:rPr>
        <w:t>年南京市发展和改革委员会</w:t>
      </w:r>
    </w:p>
    <w:p w:rsidR="00546122" w:rsidRDefault="00FA1383">
      <w:pPr>
        <w:spacing w:line="700" w:lineRule="exact"/>
        <w:ind w:firstLineChars="0" w:firstLine="0"/>
        <w:jc w:val="center"/>
        <w:rPr>
          <w:rFonts w:eastAsia="方正小标宋_GBK"/>
          <w:sz w:val="44"/>
          <w:szCs w:val="44"/>
        </w:rPr>
      </w:pPr>
      <w:r>
        <w:rPr>
          <w:rFonts w:eastAsia="方正小标宋_GBK"/>
          <w:sz w:val="44"/>
          <w:szCs w:val="44"/>
        </w:rPr>
        <w:t>——</w:t>
      </w:r>
      <w:r>
        <w:rPr>
          <w:rFonts w:eastAsia="方正小标宋_GBK"/>
          <w:sz w:val="44"/>
          <w:szCs w:val="44"/>
        </w:rPr>
        <w:t>南京市宏观经济研究中心整体预算</w:t>
      </w:r>
    </w:p>
    <w:p w:rsidR="00546122" w:rsidRDefault="00FA1383">
      <w:pPr>
        <w:spacing w:line="700" w:lineRule="exact"/>
        <w:ind w:firstLineChars="0" w:firstLine="0"/>
        <w:jc w:val="center"/>
        <w:rPr>
          <w:rFonts w:eastAsia="方正小标宋_GBK"/>
          <w:sz w:val="44"/>
          <w:szCs w:val="44"/>
        </w:rPr>
      </w:pPr>
      <w:r>
        <w:rPr>
          <w:rFonts w:eastAsia="方正小标宋_GBK"/>
          <w:sz w:val="44"/>
          <w:szCs w:val="44"/>
        </w:rPr>
        <w:t>绩效自评价报告</w:t>
      </w:r>
    </w:p>
    <w:p w:rsidR="00546122" w:rsidRDefault="00546122">
      <w:pPr>
        <w:widowControl/>
        <w:spacing w:line="600" w:lineRule="exact"/>
        <w:ind w:firstLine="640"/>
        <w:rPr>
          <w:rFonts w:eastAsia="方正仿宋_GBK"/>
          <w:sz w:val="32"/>
          <w:szCs w:val="32"/>
        </w:rPr>
      </w:pPr>
    </w:p>
    <w:p w:rsidR="00546122" w:rsidRDefault="00FA1383">
      <w:pPr>
        <w:widowControl/>
        <w:spacing w:line="600" w:lineRule="exact"/>
        <w:ind w:firstLine="640"/>
        <w:rPr>
          <w:rFonts w:eastAsia="方正仿宋_GBK"/>
          <w:sz w:val="32"/>
          <w:szCs w:val="32"/>
        </w:rPr>
      </w:pPr>
      <w:r>
        <w:rPr>
          <w:rFonts w:eastAsia="方正仿宋_GBK"/>
          <w:sz w:val="32"/>
          <w:szCs w:val="32"/>
        </w:rPr>
        <w:t>为加强财政支出绩效管理，规范部门内部管理行为，提升部门职能履职效益，南京市宏观经济研究中心（以下简称为</w:t>
      </w:r>
      <w:r>
        <w:rPr>
          <w:rFonts w:eastAsia="方正仿宋_GBK"/>
          <w:sz w:val="32"/>
          <w:szCs w:val="32"/>
        </w:rPr>
        <w:t>“</w:t>
      </w:r>
      <w:r>
        <w:rPr>
          <w:rFonts w:eastAsia="方正仿宋_GBK"/>
          <w:sz w:val="32"/>
          <w:szCs w:val="32"/>
        </w:rPr>
        <w:t>宏观中心</w:t>
      </w:r>
      <w:r>
        <w:rPr>
          <w:rFonts w:eastAsia="方正仿宋_GBK"/>
          <w:sz w:val="32"/>
          <w:szCs w:val="32"/>
        </w:rPr>
        <w:t>”</w:t>
      </w:r>
      <w:r>
        <w:rPr>
          <w:rFonts w:eastAsia="方正仿宋_GBK"/>
          <w:sz w:val="32"/>
          <w:szCs w:val="32"/>
        </w:rPr>
        <w:t>或</w:t>
      </w:r>
      <w:r>
        <w:rPr>
          <w:rFonts w:eastAsia="方正仿宋_GBK"/>
          <w:sz w:val="32"/>
          <w:szCs w:val="32"/>
        </w:rPr>
        <w:t>“</w:t>
      </w:r>
      <w:r>
        <w:rPr>
          <w:rFonts w:eastAsia="方正仿宋_GBK"/>
          <w:sz w:val="32"/>
          <w:szCs w:val="32"/>
        </w:rPr>
        <w:t>本单位</w:t>
      </w:r>
      <w:r>
        <w:rPr>
          <w:rFonts w:eastAsia="方正仿宋_GBK"/>
          <w:sz w:val="32"/>
          <w:szCs w:val="32"/>
        </w:rPr>
        <w:t>”</w:t>
      </w:r>
      <w:r>
        <w:rPr>
          <w:rFonts w:eastAsia="方正仿宋_GBK"/>
          <w:sz w:val="32"/>
          <w:szCs w:val="32"/>
        </w:rPr>
        <w:t>）以部门中长期发展规划为指导，遵照《南京市市级财政预算绩效评价操作规程（试行）》（宁财绩〔</w:t>
      </w:r>
      <w:r>
        <w:rPr>
          <w:rFonts w:eastAsia="方正仿宋_GBK"/>
          <w:sz w:val="32"/>
          <w:szCs w:val="32"/>
        </w:rPr>
        <w:t>2020</w:t>
      </w:r>
      <w:r>
        <w:rPr>
          <w:rFonts w:eastAsia="方正仿宋_GBK"/>
          <w:sz w:val="32"/>
          <w:szCs w:val="32"/>
        </w:rPr>
        <w:t>〕</w:t>
      </w:r>
      <w:r>
        <w:rPr>
          <w:rFonts w:eastAsia="方正仿宋_GBK"/>
          <w:sz w:val="32"/>
          <w:szCs w:val="32"/>
        </w:rPr>
        <w:t>260</w:t>
      </w:r>
      <w:r>
        <w:rPr>
          <w:rFonts w:eastAsia="方正仿宋_GBK"/>
          <w:sz w:val="32"/>
          <w:szCs w:val="32"/>
        </w:rPr>
        <w:t>号）等文件要求，对本单位</w:t>
      </w:r>
      <w:r>
        <w:rPr>
          <w:rFonts w:eastAsia="方正仿宋_GBK" w:hint="eastAsia"/>
          <w:sz w:val="32"/>
          <w:szCs w:val="32"/>
        </w:rPr>
        <w:t>2024</w:t>
      </w:r>
      <w:r>
        <w:rPr>
          <w:rFonts w:eastAsia="方正仿宋_GBK"/>
          <w:sz w:val="32"/>
          <w:szCs w:val="32"/>
        </w:rPr>
        <w:t>年度部门履职情况实施整体绩效自评价，并形成本绩效自评价报告，现报告如下：</w:t>
      </w:r>
    </w:p>
    <w:p w:rsidR="00546122" w:rsidRDefault="00FA1383" w:rsidP="00693E53">
      <w:pPr>
        <w:pStyle w:val="30"/>
        <w:spacing w:beforeLines="150"/>
        <w:rPr>
          <w:rFonts w:ascii="Times New Roman" w:hAnsi="Times New Roman"/>
        </w:rPr>
      </w:pPr>
      <w:bookmarkStart w:id="0" w:name="_Toc47023253"/>
      <w:r>
        <w:rPr>
          <w:rFonts w:ascii="Times New Roman" w:hAnsi="Times New Roman"/>
        </w:rPr>
        <w:t>一、部门</w:t>
      </w:r>
      <w:bookmarkEnd w:id="0"/>
      <w:r>
        <w:rPr>
          <w:rFonts w:ascii="Times New Roman" w:hAnsi="Times New Roman"/>
        </w:rPr>
        <w:t>概况</w:t>
      </w:r>
    </w:p>
    <w:p w:rsidR="00546122" w:rsidRDefault="00FA1383">
      <w:pPr>
        <w:pStyle w:val="GBK30"/>
        <w:rPr>
          <w:rFonts w:ascii="Times New Roman" w:hAnsi="Times New Roman"/>
          <w:color w:val="000000" w:themeColor="text1"/>
        </w:rPr>
      </w:pPr>
      <w:bookmarkStart w:id="1" w:name="_Toc47023254"/>
      <w:r>
        <w:rPr>
          <w:rFonts w:ascii="Times New Roman" w:hAnsi="Times New Roman"/>
          <w:color w:val="000000" w:themeColor="text1"/>
        </w:rPr>
        <w:t>（一）部门</w:t>
      </w:r>
      <w:bookmarkEnd w:id="1"/>
      <w:r>
        <w:rPr>
          <w:rFonts w:ascii="Times New Roman" w:hAnsi="Times New Roman"/>
          <w:color w:val="000000" w:themeColor="text1"/>
        </w:rPr>
        <w:t>基本情况</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南京市宏观经济研究中心根据《关于同意市发展和改革委员会所属部分事业单位整合和编制核减的批复》（宁编办字〔</w:t>
      </w:r>
      <w:r>
        <w:rPr>
          <w:rFonts w:eastAsia="方正仿宋_GBK"/>
          <w:color w:val="000000" w:themeColor="text1"/>
          <w:sz w:val="32"/>
          <w:szCs w:val="32"/>
        </w:rPr>
        <w:t>2017</w:t>
      </w:r>
      <w:r>
        <w:rPr>
          <w:rFonts w:eastAsia="方正仿宋_GBK"/>
          <w:color w:val="000000" w:themeColor="text1"/>
          <w:sz w:val="32"/>
          <w:szCs w:val="32"/>
        </w:rPr>
        <w:t>〕</w:t>
      </w:r>
      <w:r>
        <w:rPr>
          <w:rFonts w:eastAsia="方正仿宋_GBK"/>
          <w:color w:val="000000" w:themeColor="text1"/>
          <w:sz w:val="32"/>
          <w:szCs w:val="32"/>
        </w:rPr>
        <w:t>323</w:t>
      </w:r>
      <w:r>
        <w:rPr>
          <w:rFonts w:eastAsia="方正仿宋_GBK"/>
          <w:color w:val="000000" w:themeColor="text1"/>
          <w:sz w:val="32"/>
          <w:szCs w:val="32"/>
        </w:rPr>
        <w:t>号）文件批复成立，于</w:t>
      </w:r>
      <w:r>
        <w:rPr>
          <w:rFonts w:eastAsia="方正仿宋_GBK"/>
          <w:color w:val="000000" w:themeColor="text1"/>
          <w:sz w:val="32"/>
          <w:szCs w:val="32"/>
        </w:rPr>
        <w:t>2018</w:t>
      </w:r>
      <w:r>
        <w:rPr>
          <w:rFonts w:eastAsia="方正仿宋_GBK"/>
          <w:color w:val="000000" w:themeColor="text1"/>
          <w:sz w:val="32"/>
          <w:szCs w:val="32"/>
        </w:rPr>
        <w:t>年</w:t>
      </w:r>
      <w:r>
        <w:rPr>
          <w:rFonts w:eastAsia="方正仿宋_GBK"/>
          <w:color w:val="000000" w:themeColor="text1"/>
          <w:sz w:val="32"/>
          <w:szCs w:val="32"/>
        </w:rPr>
        <w:t>3</w:t>
      </w:r>
      <w:r>
        <w:rPr>
          <w:rFonts w:eastAsia="方正仿宋_GBK"/>
          <w:color w:val="000000" w:themeColor="text1"/>
          <w:sz w:val="32"/>
          <w:szCs w:val="32"/>
        </w:rPr>
        <w:t>月</w:t>
      </w:r>
      <w:r>
        <w:rPr>
          <w:rFonts w:eastAsia="方正仿宋_GBK"/>
          <w:color w:val="000000" w:themeColor="text1"/>
          <w:sz w:val="32"/>
          <w:szCs w:val="32"/>
        </w:rPr>
        <w:t>23</w:t>
      </w:r>
      <w:r>
        <w:rPr>
          <w:rFonts w:eastAsia="方正仿宋_GBK"/>
          <w:color w:val="000000" w:themeColor="text1"/>
          <w:sz w:val="32"/>
          <w:szCs w:val="32"/>
        </w:rPr>
        <w:t>日完成编办注册登记。</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宏观中心的主要职责为：</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组织开展对全市全局性、综合性、战略性、长期性问题和社会发展动态的跟踪与前瞻性研究，提出政策建议；</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2.</w:t>
      </w:r>
      <w:r>
        <w:rPr>
          <w:rFonts w:eastAsia="方正仿宋_GBK"/>
          <w:color w:val="000000" w:themeColor="text1"/>
          <w:sz w:val="32"/>
          <w:szCs w:val="32"/>
        </w:rPr>
        <w:t>协助开展国民经济全时段分析和预测；</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lastRenderedPageBreak/>
        <w:t>3.</w:t>
      </w:r>
      <w:r>
        <w:rPr>
          <w:rFonts w:eastAsia="方正仿宋_GBK"/>
          <w:color w:val="000000" w:themeColor="text1"/>
          <w:sz w:val="32"/>
          <w:szCs w:val="32"/>
        </w:rPr>
        <w:t>对全市经济社会发展重要政策措施、发展规划和改革方案的实施进行评估；</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4.</w:t>
      </w:r>
      <w:r>
        <w:rPr>
          <w:rFonts w:eastAsia="方正仿宋_GBK"/>
          <w:color w:val="000000" w:themeColor="text1"/>
          <w:sz w:val="32"/>
          <w:szCs w:val="32"/>
        </w:rPr>
        <w:t>开展全市产业经济发展和产业政策研究，协助开展重大项目策划；</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5.</w:t>
      </w:r>
      <w:r>
        <w:rPr>
          <w:rFonts w:eastAsia="方正仿宋_GBK"/>
          <w:color w:val="000000" w:themeColor="text1"/>
          <w:sz w:val="32"/>
          <w:szCs w:val="32"/>
        </w:rPr>
        <w:t>研究国际国内和省内经济社会</w:t>
      </w:r>
      <w:r>
        <w:rPr>
          <w:rFonts w:eastAsia="方正仿宋_GBK"/>
          <w:color w:val="000000" w:themeColor="text1"/>
          <w:sz w:val="32"/>
          <w:szCs w:val="32"/>
        </w:rPr>
        <w:t>发展趋势及其对我市的影响；</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6.</w:t>
      </w:r>
      <w:r>
        <w:rPr>
          <w:rFonts w:eastAsia="方正仿宋_GBK"/>
          <w:color w:val="000000" w:themeColor="text1"/>
          <w:sz w:val="32"/>
          <w:szCs w:val="32"/>
        </w:rPr>
        <w:t>为地区间横向经济联合和协调发展提供协调保障服务；</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7.</w:t>
      </w:r>
      <w:r>
        <w:rPr>
          <w:rFonts w:eastAsia="方正仿宋_GBK"/>
          <w:color w:val="000000" w:themeColor="text1"/>
          <w:sz w:val="32"/>
          <w:szCs w:val="32"/>
        </w:rPr>
        <w:t>协作开展服务服从一带一路、长江经济带、长三角一体化等国家区域战略的功能和定位研究，参与南京都市圈等区域合作规划和政策的研究等。</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年度，宏观中心内设办公室、科研服务室、战略规划研究所、综合经济研究所、社会发展研究所</w:t>
      </w:r>
      <w:r>
        <w:rPr>
          <w:rFonts w:eastAsia="方正仿宋_GBK"/>
          <w:color w:val="000000" w:themeColor="text1"/>
          <w:sz w:val="32"/>
          <w:szCs w:val="32"/>
        </w:rPr>
        <w:t>5</w:t>
      </w:r>
      <w:r>
        <w:rPr>
          <w:rFonts w:eastAsia="方正仿宋_GBK"/>
          <w:color w:val="000000" w:themeColor="text1"/>
          <w:sz w:val="32"/>
          <w:szCs w:val="32"/>
        </w:rPr>
        <w:t>个部门；目前现有在编人员</w:t>
      </w:r>
      <w:r>
        <w:rPr>
          <w:rFonts w:eastAsia="方正仿宋_GBK"/>
          <w:color w:val="000000" w:themeColor="text1"/>
          <w:sz w:val="32"/>
          <w:szCs w:val="32"/>
        </w:rPr>
        <w:t>2</w:t>
      </w:r>
      <w:r>
        <w:rPr>
          <w:rFonts w:eastAsia="方正仿宋_GBK" w:hint="eastAsia"/>
          <w:color w:val="000000" w:themeColor="text1"/>
          <w:sz w:val="32"/>
          <w:szCs w:val="32"/>
        </w:rPr>
        <w:t>2</w:t>
      </w:r>
      <w:r>
        <w:rPr>
          <w:rFonts w:eastAsia="方正仿宋_GBK"/>
          <w:color w:val="000000" w:themeColor="text1"/>
          <w:sz w:val="32"/>
          <w:szCs w:val="32"/>
        </w:rPr>
        <w:t>人，管理岗位</w:t>
      </w:r>
      <w:r>
        <w:rPr>
          <w:rFonts w:eastAsia="方正仿宋_GBK" w:hint="eastAsia"/>
          <w:color w:val="000000" w:themeColor="text1"/>
          <w:sz w:val="32"/>
          <w:szCs w:val="32"/>
        </w:rPr>
        <w:t>5</w:t>
      </w:r>
      <w:r>
        <w:rPr>
          <w:rFonts w:eastAsia="方正仿宋_GBK"/>
          <w:color w:val="000000" w:themeColor="text1"/>
          <w:sz w:val="32"/>
          <w:szCs w:val="32"/>
        </w:rPr>
        <w:t>人，专业技术岗位</w:t>
      </w:r>
      <w:r>
        <w:rPr>
          <w:rFonts w:eastAsia="方正仿宋_GBK"/>
          <w:color w:val="000000" w:themeColor="text1"/>
          <w:sz w:val="32"/>
          <w:szCs w:val="32"/>
        </w:rPr>
        <w:t>16</w:t>
      </w:r>
      <w:r>
        <w:rPr>
          <w:rFonts w:eastAsia="方正仿宋_GBK"/>
          <w:color w:val="000000" w:themeColor="text1"/>
          <w:sz w:val="32"/>
          <w:szCs w:val="32"/>
        </w:rPr>
        <w:t>人，工勤岗位</w:t>
      </w:r>
      <w:r>
        <w:rPr>
          <w:rFonts w:eastAsia="方正仿宋_GBK"/>
          <w:color w:val="000000" w:themeColor="text1"/>
          <w:sz w:val="32"/>
          <w:szCs w:val="32"/>
        </w:rPr>
        <w:t>1</w:t>
      </w:r>
      <w:r>
        <w:rPr>
          <w:rFonts w:eastAsia="方正仿宋_GBK"/>
          <w:color w:val="000000" w:themeColor="text1"/>
          <w:sz w:val="32"/>
          <w:szCs w:val="32"/>
        </w:rPr>
        <w:t>人。主体岗位是专业技术岗位，占岗位总量的</w:t>
      </w:r>
      <w:r>
        <w:rPr>
          <w:rFonts w:eastAsia="方正仿宋_GBK" w:hint="eastAsia"/>
          <w:color w:val="000000" w:themeColor="text1"/>
          <w:sz w:val="32"/>
          <w:szCs w:val="32"/>
        </w:rPr>
        <w:t>72.73</w:t>
      </w:r>
      <w:r>
        <w:rPr>
          <w:rFonts w:eastAsia="方正仿宋_GBK"/>
          <w:color w:val="000000" w:themeColor="text1"/>
          <w:sz w:val="32"/>
          <w:szCs w:val="32"/>
        </w:rPr>
        <w:t>%</w:t>
      </w:r>
      <w:r>
        <w:rPr>
          <w:rFonts w:eastAsia="方正仿宋_GBK"/>
          <w:color w:val="000000" w:themeColor="text1"/>
          <w:sz w:val="32"/>
          <w:szCs w:val="32"/>
        </w:rPr>
        <w:t>，配置合理，符合智库建设需求。</w:t>
      </w:r>
    </w:p>
    <w:p w:rsidR="00546122" w:rsidRDefault="00FA1383">
      <w:pPr>
        <w:pStyle w:val="GBK30"/>
        <w:rPr>
          <w:rFonts w:ascii="Times New Roman" w:hAnsi="Times New Roman"/>
        </w:rPr>
      </w:pPr>
      <w:r>
        <w:rPr>
          <w:rFonts w:ascii="Times New Roman" w:hAnsi="Times New Roman"/>
        </w:rPr>
        <w:t>（二）部门收支情况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预算收支情况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年单位年初预算收支总额为</w:t>
      </w:r>
      <w:r>
        <w:rPr>
          <w:rFonts w:eastAsia="方正仿宋_GBK" w:hint="eastAsia"/>
          <w:color w:val="000000" w:themeColor="text1"/>
          <w:sz w:val="32"/>
          <w:szCs w:val="32"/>
        </w:rPr>
        <w:t>1155.31</w:t>
      </w:r>
      <w:r>
        <w:rPr>
          <w:rFonts w:eastAsia="方正仿宋_GBK"/>
          <w:color w:val="000000" w:themeColor="text1"/>
          <w:sz w:val="32"/>
          <w:szCs w:val="32"/>
        </w:rPr>
        <w:t>万元，收入均为一般公共预算收入，支出包括：基本支出</w:t>
      </w:r>
      <w:r>
        <w:rPr>
          <w:rFonts w:eastAsia="方正仿宋_GBK" w:hint="eastAsia"/>
          <w:color w:val="000000" w:themeColor="text1"/>
          <w:sz w:val="32"/>
          <w:szCs w:val="32"/>
        </w:rPr>
        <w:t>831.31</w:t>
      </w:r>
      <w:r>
        <w:rPr>
          <w:rFonts w:eastAsia="方正仿宋_GBK"/>
          <w:color w:val="000000" w:themeColor="text1"/>
          <w:sz w:val="32"/>
          <w:szCs w:val="32"/>
        </w:rPr>
        <w:t>万元，主要用于人员工资福利、日常办公、提租补贴等支出；项目支出</w:t>
      </w:r>
      <w:r>
        <w:rPr>
          <w:rFonts w:eastAsia="方正仿宋_GBK" w:hint="eastAsia"/>
          <w:color w:val="000000" w:themeColor="text1"/>
          <w:sz w:val="32"/>
          <w:szCs w:val="32"/>
        </w:rPr>
        <w:t>324</w:t>
      </w:r>
      <w:r>
        <w:rPr>
          <w:rFonts w:eastAsia="方正仿宋_GBK"/>
          <w:color w:val="000000" w:themeColor="text1"/>
          <w:sz w:val="32"/>
          <w:szCs w:val="32"/>
        </w:rPr>
        <w:t>万元，主要用于课题研究。后</w:t>
      </w:r>
      <w:r>
        <w:rPr>
          <w:rFonts w:eastAsia="方正仿宋_GBK" w:hint="eastAsia"/>
          <w:color w:val="000000" w:themeColor="text1"/>
          <w:sz w:val="32"/>
          <w:szCs w:val="32"/>
        </w:rPr>
        <w:t>基本支出</w:t>
      </w:r>
      <w:r>
        <w:rPr>
          <w:rFonts w:eastAsia="方正仿宋_GBK"/>
          <w:color w:val="000000" w:themeColor="text1"/>
          <w:sz w:val="32"/>
          <w:szCs w:val="32"/>
        </w:rPr>
        <w:t>由于增资等原因，预算上调</w:t>
      </w:r>
      <w:r>
        <w:rPr>
          <w:rFonts w:eastAsia="方正仿宋_GBK" w:hint="eastAsia"/>
          <w:color w:val="000000" w:themeColor="text1"/>
          <w:sz w:val="32"/>
          <w:szCs w:val="32"/>
        </w:rPr>
        <w:t>89.15</w:t>
      </w:r>
      <w:r>
        <w:rPr>
          <w:rFonts w:eastAsia="方正仿宋_GBK"/>
          <w:color w:val="000000" w:themeColor="text1"/>
          <w:sz w:val="32"/>
          <w:szCs w:val="32"/>
        </w:rPr>
        <w:t>万元</w:t>
      </w:r>
      <w:r>
        <w:rPr>
          <w:rFonts w:eastAsia="方正仿宋_GBK" w:hint="eastAsia"/>
          <w:color w:val="000000" w:themeColor="text1"/>
          <w:sz w:val="32"/>
          <w:szCs w:val="32"/>
        </w:rPr>
        <w:t>，</w:t>
      </w:r>
      <w:r>
        <w:rPr>
          <w:rFonts w:eastAsia="方正仿宋_GBK"/>
          <w:color w:val="000000" w:themeColor="text1"/>
          <w:sz w:val="32"/>
          <w:szCs w:val="32"/>
        </w:rPr>
        <w:t>调整后单位预算收支总额为</w:t>
      </w:r>
      <w:r>
        <w:rPr>
          <w:rFonts w:eastAsia="方正仿宋_GBK" w:hint="eastAsia"/>
          <w:color w:val="000000" w:themeColor="text1"/>
          <w:sz w:val="32"/>
          <w:szCs w:val="32"/>
        </w:rPr>
        <w:t>1244.46</w:t>
      </w:r>
      <w:r>
        <w:rPr>
          <w:rFonts w:eastAsia="方正仿宋_GBK"/>
          <w:color w:val="000000" w:themeColor="text1"/>
          <w:sz w:val="32"/>
          <w:szCs w:val="32"/>
        </w:rPr>
        <w:t>万元。</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lastRenderedPageBreak/>
        <w:t>2.</w:t>
      </w:r>
      <w:r>
        <w:rPr>
          <w:rFonts w:eastAsia="方正仿宋_GBK"/>
          <w:color w:val="000000" w:themeColor="text1"/>
          <w:sz w:val="32"/>
          <w:szCs w:val="32"/>
        </w:rPr>
        <w:t>决算收支情况</w:t>
      </w:r>
    </w:p>
    <w:p w:rsidR="00546122" w:rsidRDefault="00FA1383">
      <w:pPr>
        <w:widowControl/>
        <w:spacing w:line="600" w:lineRule="exact"/>
        <w:ind w:firstLine="640"/>
        <w:rPr>
          <w:rFonts w:eastAsia="方正仿宋_GBK"/>
          <w:color w:val="000000" w:themeColor="text1"/>
          <w:sz w:val="32"/>
          <w:szCs w:val="32"/>
        </w:rPr>
      </w:pPr>
      <w:r>
        <w:rPr>
          <w:rFonts w:eastAsia="方正仿宋_GBK" w:hint="eastAsia"/>
          <w:color w:val="000000" w:themeColor="text1"/>
          <w:sz w:val="32"/>
          <w:szCs w:val="32"/>
        </w:rPr>
        <w:t>2024</w:t>
      </w:r>
      <w:r>
        <w:rPr>
          <w:rFonts w:eastAsia="方正仿宋_GBK"/>
          <w:color w:val="000000" w:themeColor="text1"/>
          <w:sz w:val="32"/>
          <w:szCs w:val="32"/>
        </w:rPr>
        <w:t>年度部门决算收入合计</w:t>
      </w:r>
      <w:r>
        <w:rPr>
          <w:rFonts w:eastAsia="方正仿宋_GBK" w:hint="eastAsia"/>
          <w:color w:val="000000" w:themeColor="text1"/>
          <w:sz w:val="32"/>
          <w:szCs w:val="32"/>
        </w:rPr>
        <w:t>1042.67</w:t>
      </w:r>
      <w:r>
        <w:rPr>
          <w:rFonts w:eastAsia="方正仿宋_GBK"/>
          <w:color w:val="000000" w:themeColor="text1"/>
          <w:sz w:val="32"/>
          <w:szCs w:val="32"/>
        </w:rPr>
        <w:t>万元，比全年预算收入减少</w:t>
      </w:r>
      <w:r>
        <w:rPr>
          <w:rFonts w:eastAsia="方正仿宋_GBK" w:hint="eastAsia"/>
          <w:color w:val="000000" w:themeColor="text1"/>
          <w:sz w:val="32"/>
          <w:szCs w:val="32"/>
        </w:rPr>
        <w:t>201.79</w:t>
      </w:r>
      <w:r>
        <w:rPr>
          <w:rFonts w:eastAsia="方正仿宋_GBK"/>
          <w:color w:val="000000" w:themeColor="text1"/>
          <w:sz w:val="32"/>
          <w:szCs w:val="32"/>
        </w:rPr>
        <w:t>万元，主要原因是财政年末核销项目经费结余；其中基本支出</w:t>
      </w:r>
      <w:r>
        <w:rPr>
          <w:rFonts w:eastAsia="方正仿宋_GBK" w:hint="eastAsia"/>
          <w:color w:val="000000" w:themeColor="text1"/>
          <w:sz w:val="32"/>
          <w:szCs w:val="32"/>
        </w:rPr>
        <w:t>878.2</w:t>
      </w:r>
      <w:r>
        <w:rPr>
          <w:rFonts w:eastAsia="方正仿宋_GBK"/>
          <w:color w:val="000000" w:themeColor="text1"/>
          <w:sz w:val="32"/>
          <w:szCs w:val="32"/>
        </w:rPr>
        <w:t>万元，项目支出</w:t>
      </w:r>
      <w:r>
        <w:rPr>
          <w:rFonts w:eastAsia="方正仿宋_GBK" w:hint="eastAsia"/>
          <w:color w:val="000000" w:themeColor="text1"/>
          <w:sz w:val="32"/>
          <w:szCs w:val="32"/>
        </w:rPr>
        <w:t>164.47</w:t>
      </w:r>
      <w:r>
        <w:rPr>
          <w:rFonts w:eastAsia="方正仿宋_GBK"/>
          <w:color w:val="000000" w:themeColor="text1"/>
          <w:sz w:val="32"/>
          <w:szCs w:val="32"/>
        </w:rPr>
        <w:t>万元，主要是由于项目支出的减少</w:t>
      </w:r>
      <w:r>
        <w:rPr>
          <w:rFonts w:eastAsia="方正仿宋_GBK"/>
          <w:color w:val="000000" w:themeColor="text1"/>
          <w:sz w:val="32"/>
          <w:szCs w:val="32"/>
        </w:rPr>
        <w:t>，部门年末结转结余</w:t>
      </w:r>
      <w:r>
        <w:rPr>
          <w:rFonts w:eastAsia="方正仿宋_GBK"/>
          <w:color w:val="000000" w:themeColor="text1"/>
          <w:sz w:val="32"/>
          <w:szCs w:val="32"/>
        </w:rPr>
        <w:t>0.</w:t>
      </w:r>
      <w:r>
        <w:rPr>
          <w:rFonts w:eastAsia="方正仿宋_GBK" w:hint="eastAsia"/>
          <w:color w:val="000000" w:themeColor="text1"/>
          <w:sz w:val="32"/>
          <w:szCs w:val="32"/>
        </w:rPr>
        <w:t>42</w:t>
      </w:r>
      <w:r>
        <w:rPr>
          <w:rFonts w:eastAsia="方正仿宋_GBK"/>
          <w:color w:val="000000" w:themeColor="text1"/>
          <w:sz w:val="32"/>
          <w:szCs w:val="32"/>
        </w:rPr>
        <w:t>万元。部门具体收支情况如下表：</w:t>
      </w:r>
      <w:r>
        <w:rPr>
          <w:rFonts w:eastAsia="方正仿宋_GBK"/>
          <w:color w:val="000000" w:themeColor="text1"/>
          <w:sz w:val="32"/>
          <w:szCs w:val="32"/>
        </w:rPr>
        <w:t xml:space="preserve">                    </w:t>
      </w:r>
      <w:r>
        <w:rPr>
          <w:rFonts w:eastAsia="方正仿宋_GBK"/>
          <w:color w:val="000000" w:themeColor="text1"/>
          <w:sz w:val="32"/>
          <w:szCs w:val="32"/>
        </w:rPr>
        <w:t>单位：万元</w:t>
      </w:r>
    </w:p>
    <w:tbl>
      <w:tblPr>
        <w:tblStyle w:val="4-12"/>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3485"/>
        <w:gridCol w:w="1572"/>
        <w:gridCol w:w="1891"/>
        <w:gridCol w:w="1569"/>
      </w:tblGrid>
      <w:tr w:rsidR="00546122" w:rsidTr="00546122">
        <w:trPr>
          <w:cnfStyle w:val="100000000000"/>
          <w:trHeight w:val="284"/>
          <w:tblHeader/>
          <w:jc w:val="center"/>
        </w:trPr>
        <w:tc>
          <w:tcPr>
            <w:cnfStyle w:val="001000000000"/>
            <w:tcW w:w="2046" w:type="pct"/>
            <w:shd w:val="clear" w:color="auto" w:fill="FFFFFF" w:themeFill="background1"/>
            <w:vAlign w:val="center"/>
          </w:tcPr>
          <w:p w:rsidR="00546122" w:rsidRDefault="00FA1383">
            <w:pPr>
              <w:widowControl/>
              <w:spacing w:line="300" w:lineRule="exact"/>
              <w:ind w:firstLineChars="0" w:firstLine="0"/>
              <w:jc w:val="center"/>
              <w:rPr>
                <w:rFonts w:eastAsia="楷体"/>
                <w:b w:val="0"/>
                <w:bCs w:val="0"/>
                <w:color w:val="000000" w:themeColor="text1"/>
                <w:sz w:val="24"/>
              </w:rPr>
            </w:pPr>
            <w:r>
              <w:rPr>
                <w:rFonts w:eastAsia="楷体"/>
                <w:color w:val="000000" w:themeColor="text1"/>
                <w:sz w:val="24"/>
              </w:rPr>
              <w:t>收支项目</w:t>
            </w:r>
          </w:p>
        </w:tc>
        <w:tc>
          <w:tcPr>
            <w:tcW w:w="923"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预算金额</w:t>
            </w:r>
          </w:p>
        </w:tc>
        <w:tc>
          <w:tcPr>
            <w:tcW w:w="1110"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调整后金额</w:t>
            </w:r>
          </w:p>
        </w:tc>
        <w:tc>
          <w:tcPr>
            <w:tcW w:w="922" w:type="pct"/>
            <w:shd w:val="clear" w:color="auto" w:fill="FFFFFF" w:themeFill="background1"/>
            <w:vAlign w:val="center"/>
          </w:tcPr>
          <w:p w:rsidR="00546122" w:rsidRDefault="00FA1383">
            <w:pPr>
              <w:widowControl/>
              <w:spacing w:line="300" w:lineRule="exact"/>
              <w:ind w:firstLineChars="0" w:firstLine="0"/>
              <w:jc w:val="center"/>
              <w:cnfStyle w:val="100000000000"/>
              <w:rPr>
                <w:rFonts w:eastAsia="楷体"/>
                <w:b w:val="0"/>
                <w:bCs w:val="0"/>
                <w:color w:val="000000" w:themeColor="text1"/>
                <w:sz w:val="24"/>
              </w:rPr>
            </w:pPr>
            <w:r>
              <w:rPr>
                <w:rFonts w:eastAsia="楷体"/>
                <w:color w:val="000000" w:themeColor="text1"/>
                <w:sz w:val="24"/>
              </w:rPr>
              <w:t>决算金额</w:t>
            </w:r>
          </w:p>
        </w:tc>
      </w:tr>
      <w:tr w:rsidR="00546122" w:rsidTr="00546122">
        <w:trPr>
          <w:trHeight w:val="405"/>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上年末结余</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0.27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一般公共预算财政拨款</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highlight w:val="yellow"/>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highlight w:val="yellow"/>
              </w:rPr>
            </w:pPr>
            <w:r>
              <w:rPr>
                <w:rFonts w:hint="eastAsia"/>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1041.22</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0"/>
              <w:jc w:val="left"/>
              <w:rPr>
                <w:color w:val="000000" w:themeColor="text1"/>
                <w:sz w:val="24"/>
              </w:rPr>
            </w:pPr>
            <w:r>
              <w:rPr>
                <w:b w:val="0"/>
                <w:bCs w:val="0"/>
                <w:color w:val="000000" w:themeColor="text1"/>
                <w:sz w:val="24"/>
              </w:rPr>
              <w:t>其他收入</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highlight w:val="yellow"/>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highlight w:val="yellow"/>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1.18</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本年收入合计</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1042.67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基本支出</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831.31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920.46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878.2</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Chars="100" w:firstLine="240"/>
              <w:jc w:val="left"/>
              <w:rPr>
                <w:color w:val="000000" w:themeColor="text1"/>
                <w:sz w:val="24"/>
              </w:rPr>
            </w:pPr>
            <w:r>
              <w:rPr>
                <w:b w:val="0"/>
                <w:bCs w:val="0"/>
                <w:color w:val="000000" w:themeColor="text1"/>
                <w:sz w:val="24"/>
              </w:rPr>
              <w:t>其中：人员经费</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767.62</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856.77</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896.44</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Chars="400" w:firstLine="960"/>
              <w:jc w:val="left"/>
              <w:rPr>
                <w:color w:val="000000" w:themeColor="text1"/>
                <w:sz w:val="24"/>
              </w:rPr>
            </w:pPr>
            <w:r>
              <w:rPr>
                <w:b w:val="0"/>
                <w:bCs w:val="0"/>
                <w:color w:val="000000" w:themeColor="text1"/>
                <w:sz w:val="24"/>
              </w:rPr>
              <w:t>公用经费</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63.69</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63.69</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rFonts w:hint="eastAsia"/>
                <w:color w:val="000000" w:themeColor="text1"/>
                <w:sz w:val="24"/>
              </w:rPr>
              <w:t>48.94</w:t>
            </w:r>
          </w:p>
        </w:tc>
      </w:tr>
      <w:tr w:rsidR="00546122" w:rsidTr="00546122">
        <w:trPr>
          <w:trHeight w:val="375"/>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sz w:val="24"/>
              </w:rPr>
              <w:t>项目支出</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324</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324</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164.47</w:t>
            </w:r>
          </w:p>
        </w:tc>
      </w:tr>
      <w:tr w:rsidR="00546122" w:rsidTr="00546122">
        <w:trPr>
          <w:trHeight w:val="284"/>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kern w:val="0"/>
                <w:sz w:val="24"/>
              </w:rPr>
              <w:t>本年支出合计</w:t>
            </w:r>
          </w:p>
        </w:tc>
        <w:tc>
          <w:tcPr>
            <w:tcW w:w="923"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1155.31</w:t>
            </w:r>
          </w:p>
        </w:tc>
        <w:tc>
          <w:tcPr>
            <w:tcW w:w="1110"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1244.46</w:t>
            </w: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b/>
                <w:bCs/>
                <w:color w:val="000000" w:themeColor="text1"/>
                <w:sz w:val="24"/>
              </w:rPr>
            </w:pPr>
            <w:r>
              <w:rPr>
                <w:rFonts w:hint="eastAsia"/>
                <w:b/>
                <w:bCs/>
                <w:color w:val="000000" w:themeColor="text1"/>
                <w:sz w:val="24"/>
              </w:rPr>
              <w:t>1042.67</w:t>
            </w:r>
          </w:p>
        </w:tc>
      </w:tr>
      <w:tr w:rsidR="00546122" w:rsidTr="00546122">
        <w:trPr>
          <w:trHeight w:val="416"/>
          <w:jc w:val="center"/>
        </w:trPr>
        <w:tc>
          <w:tcPr>
            <w:cnfStyle w:val="001000000000"/>
            <w:tcW w:w="2046" w:type="pct"/>
            <w:shd w:val="clear" w:color="auto" w:fill="FFFFFF" w:themeFill="background1"/>
            <w:vAlign w:val="center"/>
          </w:tcPr>
          <w:p w:rsidR="00546122" w:rsidRDefault="00FA1383">
            <w:pPr>
              <w:widowControl/>
              <w:spacing w:line="300" w:lineRule="exact"/>
              <w:ind w:firstLine="482"/>
              <w:jc w:val="left"/>
              <w:rPr>
                <w:b w:val="0"/>
                <w:bCs w:val="0"/>
                <w:color w:val="000000" w:themeColor="text1"/>
                <w:sz w:val="24"/>
              </w:rPr>
            </w:pPr>
            <w:r>
              <w:rPr>
                <w:color w:val="000000" w:themeColor="text1"/>
                <w:kern w:val="0"/>
                <w:sz w:val="24"/>
              </w:rPr>
              <w:t>年末结转结余</w:t>
            </w:r>
          </w:p>
        </w:tc>
        <w:tc>
          <w:tcPr>
            <w:tcW w:w="923"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1110" w:type="pct"/>
            <w:shd w:val="clear" w:color="auto" w:fill="FFFFFF" w:themeFill="background1"/>
            <w:vAlign w:val="center"/>
          </w:tcPr>
          <w:p w:rsidR="00546122" w:rsidRDefault="00546122">
            <w:pPr>
              <w:widowControl/>
              <w:spacing w:line="400" w:lineRule="exact"/>
              <w:ind w:firstLine="480"/>
              <w:jc w:val="center"/>
              <w:cnfStyle w:val="000000000000"/>
              <w:rPr>
                <w:color w:val="000000" w:themeColor="text1"/>
                <w:sz w:val="24"/>
              </w:rPr>
            </w:pPr>
          </w:p>
        </w:tc>
        <w:tc>
          <w:tcPr>
            <w:tcW w:w="922" w:type="pct"/>
            <w:shd w:val="clear" w:color="auto" w:fill="FFFFFF" w:themeFill="background1"/>
            <w:vAlign w:val="center"/>
          </w:tcPr>
          <w:p w:rsidR="00546122" w:rsidRDefault="00FA1383">
            <w:pPr>
              <w:widowControl/>
              <w:spacing w:line="400" w:lineRule="exact"/>
              <w:ind w:firstLineChars="0" w:firstLine="0"/>
              <w:jc w:val="center"/>
              <w:cnfStyle w:val="000000000000"/>
              <w:rPr>
                <w:color w:val="000000" w:themeColor="text1"/>
                <w:sz w:val="24"/>
              </w:rPr>
            </w:pPr>
            <w:r>
              <w:rPr>
                <w:color w:val="000000" w:themeColor="text1"/>
                <w:sz w:val="24"/>
              </w:rPr>
              <w:t>0.</w:t>
            </w:r>
            <w:r>
              <w:rPr>
                <w:rFonts w:hint="eastAsia"/>
                <w:color w:val="000000" w:themeColor="text1"/>
                <w:sz w:val="24"/>
              </w:rPr>
              <w:t>15</w:t>
            </w:r>
          </w:p>
        </w:tc>
      </w:tr>
    </w:tbl>
    <w:p w:rsidR="00546122" w:rsidRDefault="00FA1383">
      <w:pPr>
        <w:pStyle w:val="GBK30"/>
        <w:rPr>
          <w:rFonts w:ascii="Times New Roman" w:hAnsi="Times New Roman"/>
          <w:color w:val="000000" w:themeColor="text1"/>
        </w:rPr>
      </w:pPr>
      <w:bookmarkStart w:id="2" w:name="_Toc47023258"/>
      <w:r>
        <w:rPr>
          <w:rFonts w:ascii="Times New Roman" w:hAnsi="Times New Roman"/>
          <w:color w:val="000000" w:themeColor="text1"/>
        </w:rPr>
        <w:t>（三）部门绩效目标</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1.</w:t>
      </w:r>
      <w:r>
        <w:rPr>
          <w:rFonts w:eastAsia="方正仿宋_GBK"/>
          <w:color w:val="000000" w:themeColor="text1"/>
          <w:sz w:val="32"/>
          <w:szCs w:val="32"/>
        </w:rPr>
        <w:t>部门中长期</w:t>
      </w:r>
      <w:bookmarkEnd w:id="2"/>
      <w:r>
        <w:rPr>
          <w:rFonts w:eastAsia="方正仿宋_GBK"/>
          <w:color w:val="000000" w:themeColor="text1"/>
          <w:sz w:val="32"/>
          <w:szCs w:val="32"/>
        </w:rPr>
        <w:t>绩效目标</w:t>
      </w:r>
    </w:p>
    <w:p w:rsidR="00546122" w:rsidRDefault="00FA1383">
      <w:pPr>
        <w:widowControl/>
        <w:spacing w:line="600" w:lineRule="exact"/>
        <w:ind w:firstLine="640"/>
        <w:rPr>
          <w:rFonts w:eastAsia="方正仿宋_GBK"/>
          <w:color w:val="000000" w:themeColor="text1"/>
          <w:sz w:val="32"/>
          <w:szCs w:val="32"/>
        </w:rPr>
      </w:pPr>
      <w:r>
        <w:rPr>
          <w:rFonts w:eastAsia="方正仿宋_GBK"/>
          <w:color w:val="000000" w:themeColor="text1"/>
          <w:sz w:val="32"/>
          <w:szCs w:val="32"/>
        </w:rPr>
        <w:t>依据中共南京市委、南京市人民政府印发的《关于强化</w:t>
      </w:r>
      <w:r>
        <w:rPr>
          <w:rFonts w:eastAsia="方正仿宋_GBK"/>
          <w:color w:val="000000" w:themeColor="text1"/>
          <w:sz w:val="32"/>
          <w:szCs w:val="32"/>
        </w:rPr>
        <w:t>“</w:t>
      </w:r>
      <w:r>
        <w:rPr>
          <w:rFonts w:eastAsia="方正仿宋_GBK"/>
          <w:color w:val="000000" w:themeColor="text1"/>
          <w:sz w:val="32"/>
          <w:szCs w:val="32"/>
        </w:rPr>
        <w:t>智库</w:t>
      </w:r>
      <w:r>
        <w:rPr>
          <w:rFonts w:eastAsia="方正仿宋_GBK"/>
          <w:color w:val="000000" w:themeColor="text1"/>
          <w:sz w:val="32"/>
          <w:szCs w:val="32"/>
        </w:rPr>
        <w:t>”</w:t>
      </w:r>
      <w:r>
        <w:rPr>
          <w:rFonts w:eastAsia="方正仿宋_GBK"/>
          <w:color w:val="000000" w:themeColor="text1"/>
          <w:sz w:val="32"/>
          <w:szCs w:val="32"/>
        </w:rPr>
        <w:t>支持功能、提高决策科学化民主化水平的意见》（宁委发〔</w:t>
      </w:r>
      <w:r>
        <w:rPr>
          <w:rFonts w:eastAsia="方正仿宋_GBK"/>
          <w:color w:val="000000" w:themeColor="text1"/>
          <w:sz w:val="32"/>
          <w:szCs w:val="32"/>
        </w:rPr>
        <w:t>2013</w:t>
      </w:r>
      <w:r>
        <w:rPr>
          <w:rFonts w:eastAsia="方正仿宋_GBK"/>
          <w:color w:val="000000" w:themeColor="text1"/>
          <w:sz w:val="32"/>
          <w:szCs w:val="32"/>
        </w:rPr>
        <w:t>〕</w:t>
      </w:r>
      <w:r>
        <w:rPr>
          <w:rFonts w:eastAsia="方正仿宋_GBK"/>
          <w:color w:val="000000" w:themeColor="text1"/>
          <w:sz w:val="32"/>
          <w:szCs w:val="32"/>
        </w:rPr>
        <w:t>49</w:t>
      </w:r>
      <w:r>
        <w:rPr>
          <w:rFonts w:eastAsia="方正仿宋_GBK"/>
          <w:color w:val="000000" w:themeColor="text1"/>
          <w:sz w:val="32"/>
          <w:szCs w:val="32"/>
        </w:rPr>
        <w:t>号）和南京市宏观经济研究中心工作职责，宏观中心确定了未来发展的</w:t>
      </w:r>
      <w:r>
        <w:rPr>
          <w:rFonts w:eastAsia="方正仿宋_GBK"/>
          <w:color w:val="000000" w:themeColor="text1"/>
          <w:sz w:val="32"/>
          <w:szCs w:val="32"/>
        </w:rPr>
        <w:t>“</w:t>
      </w:r>
      <w:r>
        <w:rPr>
          <w:rFonts w:eastAsia="方正仿宋_GBK"/>
          <w:color w:val="000000" w:themeColor="text1"/>
          <w:sz w:val="32"/>
          <w:szCs w:val="32"/>
        </w:rPr>
        <w:t>四个中心</w:t>
      </w:r>
      <w:r>
        <w:rPr>
          <w:rFonts w:eastAsia="方正仿宋_GBK"/>
          <w:color w:val="000000" w:themeColor="text1"/>
          <w:sz w:val="32"/>
          <w:szCs w:val="32"/>
        </w:rPr>
        <w:t>”</w:t>
      </w:r>
      <w:r>
        <w:rPr>
          <w:rFonts w:eastAsia="方正仿宋_GBK"/>
          <w:color w:val="000000" w:themeColor="text1"/>
          <w:sz w:val="32"/>
          <w:szCs w:val="32"/>
        </w:rPr>
        <w:t>总体目标：</w:t>
      </w:r>
    </w:p>
    <w:p w:rsidR="00546122" w:rsidRDefault="00FA1383">
      <w:pPr>
        <w:widowControl/>
        <w:spacing w:line="600" w:lineRule="exact"/>
        <w:ind w:firstLine="643"/>
        <w:rPr>
          <w:rFonts w:eastAsia="方正仿宋_GBK"/>
          <w:sz w:val="32"/>
          <w:szCs w:val="32"/>
        </w:rPr>
      </w:pPr>
      <w:r>
        <w:rPr>
          <w:rFonts w:eastAsia="方正仿宋_GBK"/>
          <w:b/>
          <w:bCs/>
          <w:color w:val="000000" w:themeColor="text1"/>
          <w:sz w:val="32"/>
          <w:szCs w:val="32"/>
        </w:rPr>
        <w:t>（</w:t>
      </w:r>
      <w:r>
        <w:rPr>
          <w:rFonts w:eastAsia="方正仿宋_GBK"/>
          <w:b/>
          <w:bCs/>
          <w:color w:val="000000" w:themeColor="text1"/>
          <w:sz w:val="32"/>
          <w:szCs w:val="32"/>
        </w:rPr>
        <w:t>1</w:t>
      </w:r>
      <w:r>
        <w:rPr>
          <w:rFonts w:eastAsia="方正仿宋_GBK"/>
          <w:b/>
          <w:bCs/>
          <w:color w:val="000000" w:themeColor="text1"/>
          <w:sz w:val="32"/>
          <w:szCs w:val="32"/>
        </w:rPr>
        <w:t>）发展战略研究中心。</w:t>
      </w:r>
      <w:r>
        <w:rPr>
          <w:rFonts w:eastAsia="方正仿宋_GBK"/>
          <w:color w:val="000000" w:themeColor="text1"/>
          <w:sz w:val="32"/>
          <w:szCs w:val="32"/>
        </w:rPr>
        <w:t>重点开展国家战略、区域战</w:t>
      </w:r>
      <w:r>
        <w:rPr>
          <w:rFonts w:eastAsia="方正仿宋_GBK"/>
          <w:sz w:val="32"/>
          <w:szCs w:val="32"/>
        </w:rPr>
        <w:t>略相关的各类发展战略的前期研究工作，成为发改委的</w:t>
      </w:r>
      <w:r>
        <w:rPr>
          <w:rFonts w:eastAsia="方正仿宋_GBK"/>
          <w:sz w:val="32"/>
          <w:szCs w:val="32"/>
        </w:rPr>
        <w:t>“</w:t>
      </w:r>
      <w:r>
        <w:rPr>
          <w:rFonts w:eastAsia="方正仿宋_GBK"/>
          <w:sz w:val="32"/>
          <w:szCs w:val="32"/>
        </w:rPr>
        <w:t>大脑</w:t>
      </w:r>
      <w:r>
        <w:rPr>
          <w:rFonts w:eastAsia="方正仿宋_GBK"/>
          <w:sz w:val="32"/>
          <w:szCs w:val="32"/>
        </w:rPr>
        <w:t>”</w:t>
      </w:r>
      <w:r>
        <w:rPr>
          <w:rFonts w:eastAsia="方正仿宋_GBK"/>
          <w:sz w:val="32"/>
          <w:szCs w:val="32"/>
        </w:rPr>
        <w:t>。</w:t>
      </w:r>
    </w:p>
    <w:p w:rsidR="00546122" w:rsidRDefault="00FA1383">
      <w:pPr>
        <w:widowControl/>
        <w:spacing w:line="600" w:lineRule="exact"/>
        <w:ind w:firstLine="643"/>
        <w:rPr>
          <w:rFonts w:eastAsia="方正仿宋_GBK"/>
          <w:sz w:val="32"/>
          <w:szCs w:val="32"/>
        </w:rPr>
      </w:pPr>
      <w:r>
        <w:rPr>
          <w:rFonts w:eastAsia="方正仿宋_GBK"/>
          <w:b/>
          <w:bCs/>
          <w:sz w:val="32"/>
          <w:szCs w:val="32"/>
        </w:rPr>
        <w:lastRenderedPageBreak/>
        <w:t>（</w:t>
      </w:r>
      <w:r>
        <w:rPr>
          <w:rFonts w:eastAsia="方正仿宋_GBK"/>
          <w:b/>
          <w:bCs/>
          <w:sz w:val="32"/>
          <w:szCs w:val="32"/>
        </w:rPr>
        <w:t>2</w:t>
      </w:r>
      <w:r>
        <w:rPr>
          <w:rFonts w:eastAsia="方正仿宋_GBK"/>
          <w:b/>
          <w:bCs/>
          <w:sz w:val="32"/>
          <w:szCs w:val="32"/>
        </w:rPr>
        <w:t>）政策效果评估中心。</w:t>
      </w:r>
      <w:r>
        <w:rPr>
          <w:rFonts w:eastAsia="方正仿宋_GBK"/>
          <w:sz w:val="32"/>
          <w:szCs w:val="32"/>
        </w:rPr>
        <w:t>承担全市经济、社会、改革、创新、发展等领域的重要政策措施、发展规划、实施改革方案进行分析评估工作，为政策优化建言献策。</w:t>
      </w:r>
    </w:p>
    <w:p w:rsidR="00546122" w:rsidRDefault="00FA1383">
      <w:pPr>
        <w:widowControl/>
        <w:spacing w:line="600" w:lineRule="exact"/>
        <w:ind w:firstLine="643"/>
        <w:rPr>
          <w:rFonts w:eastAsia="方正仿宋_GBK"/>
          <w:sz w:val="32"/>
          <w:szCs w:val="32"/>
        </w:rPr>
      </w:pPr>
      <w:r>
        <w:rPr>
          <w:rFonts w:eastAsia="方正仿宋_GBK"/>
          <w:b/>
          <w:bCs/>
          <w:sz w:val="32"/>
          <w:szCs w:val="32"/>
        </w:rPr>
        <w:t>（</w:t>
      </w:r>
      <w:r>
        <w:rPr>
          <w:rFonts w:eastAsia="方正仿宋_GBK"/>
          <w:b/>
          <w:bCs/>
          <w:sz w:val="32"/>
          <w:szCs w:val="32"/>
        </w:rPr>
        <w:t>3</w:t>
      </w:r>
      <w:r>
        <w:rPr>
          <w:rFonts w:eastAsia="方正仿宋_GBK"/>
          <w:b/>
          <w:bCs/>
          <w:sz w:val="32"/>
          <w:szCs w:val="32"/>
        </w:rPr>
        <w:t>）经济监测预警中心。</w:t>
      </w:r>
      <w:r>
        <w:rPr>
          <w:rFonts w:eastAsia="方正仿宋_GBK"/>
          <w:sz w:val="32"/>
          <w:szCs w:val="32"/>
        </w:rPr>
        <w:t>建立相对成熟的经济监测体系，并充实经济信息数据库，围绕消费、创新、人口、交通、旅游等主题开展专题研究，开展区域联动发展研究，形成宏观中心经济监测品牌。构建南京市宏观经济预警指标体系，对宏观经济进行综合性、全面性、系统性分析判断。</w:t>
      </w:r>
    </w:p>
    <w:p w:rsidR="00546122" w:rsidRDefault="00FA1383">
      <w:pPr>
        <w:widowControl/>
        <w:spacing w:line="600" w:lineRule="exact"/>
        <w:ind w:firstLine="643"/>
        <w:rPr>
          <w:rFonts w:eastAsia="方正仿宋_GBK"/>
          <w:sz w:val="32"/>
          <w:szCs w:val="32"/>
        </w:rPr>
      </w:pPr>
      <w:r>
        <w:rPr>
          <w:rFonts w:eastAsia="方正仿宋_GBK"/>
          <w:b/>
          <w:bCs/>
          <w:sz w:val="32"/>
          <w:szCs w:val="32"/>
        </w:rPr>
        <w:t>（</w:t>
      </w:r>
      <w:r>
        <w:rPr>
          <w:rFonts w:eastAsia="方正仿宋_GBK"/>
          <w:b/>
          <w:bCs/>
          <w:sz w:val="32"/>
          <w:szCs w:val="32"/>
        </w:rPr>
        <w:t>4</w:t>
      </w:r>
      <w:r>
        <w:rPr>
          <w:rFonts w:eastAsia="方正仿宋_GBK"/>
          <w:b/>
          <w:bCs/>
          <w:sz w:val="32"/>
          <w:szCs w:val="32"/>
        </w:rPr>
        <w:t>）资源集聚辐射中心。</w:t>
      </w:r>
      <w:r>
        <w:rPr>
          <w:rFonts w:eastAsia="方正仿宋_GBK"/>
          <w:sz w:val="32"/>
          <w:szCs w:val="32"/>
        </w:rPr>
        <w:t>以课题管理为纽带，打通对外交流渠道，引导专家、信息、数据等资源集聚，形成南京宏观经济智库联盟，壮大宏观中心外脑，形</w:t>
      </w:r>
      <w:r>
        <w:rPr>
          <w:rFonts w:eastAsia="方正仿宋_GBK"/>
          <w:sz w:val="32"/>
          <w:szCs w:val="32"/>
        </w:rPr>
        <w:t>成</w:t>
      </w:r>
      <w:r>
        <w:rPr>
          <w:rFonts w:eastAsia="方正仿宋_GBK"/>
          <w:sz w:val="32"/>
          <w:szCs w:val="32"/>
        </w:rPr>
        <w:t>“</w:t>
      </w:r>
      <w:r>
        <w:rPr>
          <w:rFonts w:eastAsia="方正仿宋_GBK"/>
          <w:sz w:val="32"/>
          <w:szCs w:val="32"/>
        </w:rPr>
        <w:t>以我为主、为我所用</w:t>
      </w:r>
      <w:r>
        <w:rPr>
          <w:rFonts w:eastAsia="方正仿宋_GBK"/>
          <w:sz w:val="32"/>
          <w:szCs w:val="32"/>
        </w:rPr>
        <w:t>”</w:t>
      </w:r>
      <w:r>
        <w:rPr>
          <w:rFonts w:eastAsia="方正仿宋_GBK"/>
          <w:sz w:val="32"/>
          <w:szCs w:val="32"/>
        </w:rPr>
        <w:t>的专家库。</w:t>
      </w:r>
    </w:p>
    <w:p w:rsidR="00546122" w:rsidRDefault="00FA1383">
      <w:pPr>
        <w:widowControl/>
        <w:spacing w:line="600" w:lineRule="exact"/>
        <w:ind w:firstLine="640"/>
        <w:rPr>
          <w:rFonts w:eastAsia="方正仿宋_GBK"/>
          <w:sz w:val="32"/>
          <w:szCs w:val="32"/>
        </w:rPr>
      </w:pPr>
      <w:bookmarkStart w:id="3" w:name="_Toc47023259"/>
      <w:r>
        <w:rPr>
          <w:rFonts w:eastAsia="方正仿宋_GBK"/>
          <w:sz w:val="32"/>
          <w:szCs w:val="32"/>
        </w:rPr>
        <w:t>2.</w:t>
      </w:r>
      <w:r>
        <w:rPr>
          <w:rFonts w:eastAsia="方正仿宋_GBK"/>
          <w:sz w:val="32"/>
          <w:szCs w:val="32"/>
        </w:rPr>
        <w:t>部门年度重点工作</w:t>
      </w:r>
      <w:bookmarkEnd w:id="3"/>
      <w:r>
        <w:rPr>
          <w:rFonts w:eastAsia="方正仿宋_GBK"/>
          <w:sz w:val="32"/>
          <w:szCs w:val="32"/>
        </w:rPr>
        <w:t>目标</w:t>
      </w:r>
    </w:p>
    <w:p w:rsidR="00546122" w:rsidRDefault="00FA1383">
      <w:pPr>
        <w:spacing w:line="560" w:lineRule="exact"/>
        <w:ind w:firstLine="640"/>
        <w:rPr>
          <w:rFonts w:eastAsia="方正仿宋_GBK"/>
          <w:sz w:val="32"/>
          <w:szCs w:val="32"/>
        </w:rPr>
      </w:pPr>
      <w:r>
        <w:rPr>
          <w:rFonts w:eastAsia="方正仿宋_GBK"/>
          <w:sz w:val="32"/>
          <w:szCs w:val="32"/>
        </w:rPr>
        <w:t>2024</w:t>
      </w:r>
      <w:r>
        <w:rPr>
          <w:rFonts w:eastAsia="方正仿宋_GBK"/>
          <w:sz w:val="32"/>
          <w:szCs w:val="32"/>
        </w:rPr>
        <w:t>年是全面贯彻落实党的二十大精神的深化之年，也是中心坚定信心、齐心协力、抢抓机遇、奋勇争先的关键之年。中心将紧紧围绕市委市政府中心工作和市发改委重点工作任务，进一步加强意识形态工作，抓好安全生产工作，不断推进大研究、谋划储备大政策、组织举办大活动、全力提供大服务，着力打造实战型研究机构，真正发挥好发改委参谋助手作用，不断提升工作显示度和部门影响力。</w:t>
      </w:r>
    </w:p>
    <w:p w:rsidR="00546122" w:rsidRDefault="00FA1383">
      <w:pPr>
        <w:spacing w:line="560" w:lineRule="exact"/>
        <w:ind w:firstLine="643"/>
        <w:rPr>
          <w:rFonts w:eastAsia="方正仿宋_GBK"/>
          <w:sz w:val="32"/>
          <w:szCs w:val="32"/>
        </w:rPr>
      </w:pPr>
      <w:r>
        <w:rPr>
          <w:rFonts w:eastAsia="方正仿宋_GBK"/>
          <w:b/>
          <w:sz w:val="32"/>
          <w:szCs w:val="32"/>
        </w:rPr>
        <w:t>一是提升意识形态工作，抓好安全生产。</w:t>
      </w:r>
      <w:r>
        <w:rPr>
          <w:rFonts w:eastAsia="方正仿宋_GBK"/>
          <w:sz w:val="32"/>
          <w:szCs w:val="32"/>
        </w:rPr>
        <w:t>中心上下将按照中央、省委、市委关于加强意识形态工作的精神和要求，进一步推动党风廉政建设和意识形态工作责任制的落实，着</w:t>
      </w:r>
      <w:r>
        <w:rPr>
          <w:rFonts w:eastAsia="方正仿宋_GBK"/>
          <w:sz w:val="32"/>
          <w:szCs w:val="32"/>
        </w:rPr>
        <w:lastRenderedPageBreak/>
        <w:t>力坚定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，坚决做到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，在思想上政治上行动上</w:t>
      </w:r>
      <w:r>
        <w:rPr>
          <w:rFonts w:eastAsia="方正仿宋_GBK" w:hint="eastAsia"/>
          <w:sz w:val="32"/>
          <w:szCs w:val="32"/>
        </w:rPr>
        <w:t>同党中央</w:t>
      </w:r>
      <w:r>
        <w:rPr>
          <w:rFonts w:eastAsia="方正仿宋_GBK"/>
          <w:sz w:val="32"/>
          <w:szCs w:val="32"/>
        </w:rPr>
        <w:t>保持高度一致，积极把意识形态工作纳入重要议事日程和年度工作要点中去，进一步强化基层党组织战斗堡垒作用。强化安全生产理念，紧绷安全生产这根弦，在开展专题学习的同时，党员干部发挥带头作用，强化安全生产工作责任制。</w:t>
      </w:r>
    </w:p>
    <w:p w:rsidR="00546122" w:rsidRDefault="00FA1383">
      <w:pPr>
        <w:spacing w:line="560" w:lineRule="exact"/>
        <w:ind w:firstLine="643"/>
        <w:rPr>
          <w:rFonts w:eastAsia="方正仿宋_GBK"/>
          <w:sz w:val="32"/>
          <w:szCs w:val="32"/>
        </w:rPr>
      </w:pPr>
      <w:r>
        <w:rPr>
          <w:rFonts w:eastAsia="方正仿宋_GBK"/>
          <w:b/>
          <w:sz w:val="32"/>
          <w:szCs w:val="32"/>
        </w:rPr>
        <w:t>二是探索创新研究模式，服务规划政策。</w:t>
      </w:r>
      <w:r>
        <w:rPr>
          <w:rFonts w:eastAsia="方正楷体_GBK"/>
          <w:sz w:val="32"/>
          <w:szCs w:val="32"/>
        </w:rPr>
        <w:t>在课题研究领域，</w:t>
      </w:r>
      <w:r>
        <w:rPr>
          <w:rFonts w:eastAsia="方正仿宋_GBK"/>
          <w:sz w:val="32"/>
          <w:szCs w:val="32"/>
        </w:rPr>
        <w:t>结合自主研究为主的新课题研究形势，中心将全面、</w:t>
      </w:r>
      <w:r>
        <w:rPr>
          <w:rFonts w:eastAsia="方正仿宋_GBK"/>
          <w:sz w:val="32"/>
          <w:szCs w:val="32"/>
        </w:rPr>
        <w:t>准确梳理中心成员的能力优势，以更开阔视野谋划和开展适应高质量发展要求的课题研究。</w:t>
      </w:r>
      <w:r>
        <w:rPr>
          <w:rFonts w:eastAsia="方正楷体_GBK"/>
          <w:sz w:val="32"/>
          <w:szCs w:val="32"/>
        </w:rPr>
        <w:t>在规划研究领域，</w:t>
      </w:r>
      <w:r>
        <w:rPr>
          <w:rFonts w:eastAsia="方正仿宋_GBK"/>
          <w:sz w:val="32"/>
          <w:szCs w:val="32"/>
        </w:rPr>
        <w:t>积极参与国家、省相关领域规划和全市重点规划研究，积极参与做好</w:t>
      </w:r>
      <w:r>
        <w:rPr>
          <w:rFonts w:eastAsia="方正仿宋_GBK"/>
          <w:sz w:val="32"/>
          <w:szCs w:val="32"/>
        </w:rPr>
        <w:t>“</w:t>
      </w:r>
      <w:r>
        <w:rPr>
          <w:rFonts w:eastAsia="方正仿宋_GBK"/>
          <w:sz w:val="32"/>
          <w:szCs w:val="32"/>
        </w:rPr>
        <w:t>十五五</w:t>
      </w:r>
      <w:r>
        <w:rPr>
          <w:rFonts w:eastAsia="方正仿宋_GBK"/>
          <w:sz w:val="32"/>
          <w:szCs w:val="32"/>
        </w:rPr>
        <w:t>”</w:t>
      </w:r>
      <w:r>
        <w:rPr>
          <w:rFonts w:eastAsia="方正仿宋_GBK"/>
          <w:sz w:val="32"/>
          <w:szCs w:val="32"/>
        </w:rPr>
        <w:t>规划前期研究工作。</w:t>
      </w:r>
      <w:r>
        <w:rPr>
          <w:rFonts w:eastAsia="方正楷体_GBK"/>
          <w:sz w:val="32"/>
          <w:szCs w:val="32"/>
        </w:rPr>
        <w:t>在服务政策领域，</w:t>
      </w:r>
      <w:r>
        <w:rPr>
          <w:rFonts w:eastAsia="方正仿宋_GBK"/>
          <w:sz w:val="32"/>
          <w:szCs w:val="32"/>
        </w:rPr>
        <w:t>加强既有课题研究和自主研究能力提升的基础上，配合完成全委课题的绩效考核工作，推动课题管理科学规范、便捷高效，力争形成一批较高水平的研究成果，形成一批政策研究储备。</w:t>
      </w:r>
    </w:p>
    <w:p w:rsidR="00546122" w:rsidRDefault="00FA1383">
      <w:pPr>
        <w:spacing w:line="560" w:lineRule="exact"/>
        <w:ind w:firstLine="643"/>
        <w:rPr>
          <w:rFonts w:eastAsia="方正仿宋_GBK"/>
          <w:sz w:val="32"/>
          <w:szCs w:val="32"/>
        </w:rPr>
      </w:pPr>
      <w:r>
        <w:rPr>
          <w:rFonts w:eastAsia="方正仿宋_GBK"/>
          <w:b/>
          <w:sz w:val="32"/>
          <w:szCs w:val="32"/>
        </w:rPr>
        <w:t>三是深化研究平台建设，提升活动能级。</w:t>
      </w:r>
      <w:r>
        <w:rPr>
          <w:rFonts w:eastAsia="方正楷体_GBK"/>
          <w:sz w:val="32"/>
          <w:szCs w:val="32"/>
        </w:rPr>
        <w:t>在保障企业上，</w:t>
      </w:r>
      <w:r>
        <w:rPr>
          <w:rFonts w:eastAsia="方正仿宋_GBK"/>
          <w:sz w:val="32"/>
          <w:szCs w:val="32"/>
        </w:rPr>
        <w:t>借力独角兽瞪羚企业服务中心</w:t>
      </w:r>
      <w:r>
        <w:rPr>
          <w:rFonts w:eastAsia="方正楷体_GBK"/>
          <w:sz w:val="32"/>
          <w:szCs w:val="32"/>
        </w:rPr>
        <w:t>，</w:t>
      </w:r>
      <w:r>
        <w:rPr>
          <w:rFonts w:eastAsia="方正仿宋_GBK"/>
          <w:sz w:val="32"/>
          <w:szCs w:val="32"/>
        </w:rPr>
        <w:t>争取在既有总部企业、平台企业和服务业企业调研活动基础上，增加其他领域企</w:t>
      </w:r>
      <w:r>
        <w:rPr>
          <w:rFonts w:eastAsia="方正仿宋_GBK"/>
          <w:sz w:val="32"/>
          <w:szCs w:val="32"/>
        </w:rPr>
        <w:t>业的调研活动，为全市全行业企业发展面临的新问题和新挑战，探索出政企沟通的新渠道。</w:t>
      </w:r>
      <w:r>
        <w:rPr>
          <w:rFonts w:eastAsia="方正楷体_GBK"/>
          <w:sz w:val="32"/>
          <w:szCs w:val="32"/>
        </w:rPr>
        <w:t>在服务政府上</w:t>
      </w:r>
      <w:r>
        <w:rPr>
          <w:rFonts w:eastAsia="方正仿宋_GBK"/>
          <w:sz w:val="32"/>
          <w:szCs w:val="32"/>
        </w:rPr>
        <w:t>，借鉴兄弟城市研究机构近年来组织的具有国际影响力活动的经验，探索出中心举办的具有影响力</w:t>
      </w:r>
      <w:r>
        <w:rPr>
          <w:rFonts w:eastAsia="方正仿宋_GBK" w:hint="eastAsia"/>
          <w:sz w:val="32"/>
          <w:szCs w:val="32"/>
        </w:rPr>
        <w:t>的</w:t>
      </w:r>
      <w:r>
        <w:rPr>
          <w:rFonts w:eastAsia="方正仿宋_GBK"/>
          <w:sz w:val="32"/>
          <w:szCs w:val="32"/>
        </w:rPr>
        <w:t>活动，为南京在高质量发展新实践中彰显市发改</w:t>
      </w:r>
      <w:r>
        <w:rPr>
          <w:rFonts w:eastAsia="方正仿宋_GBK" w:hint="eastAsia"/>
          <w:sz w:val="32"/>
          <w:szCs w:val="32"/>
        </w:rPr>
        <w:t>委</w:t>
      </w:r>
      <w:r>
        <w:rPr>
          <w:rFonts w:eastAsia="方正仿宋_GBK"/>
          <w:sz w:val="32"/>
          <w:szCs w:val="32"/>
        </w:rPr>
        <w:t>研究机构的新作为。</w:t>
      </w:r>
      <w:r>
        <w:rPr>
          <w:rFonts w:eastAsia="方正楷体_GBK"/>
          <w:sz w:val="32"/>
          <w:szCs w:val="32"/>
        </w:rPr>
        <w:t>在平台建设上，</w:t>
      </w:r>
      <w:r>
        <w:rPr>
          <w:rFonts w:eastAsia="方正仿宋_GBK"/>
          <w:sz w:val="32"/>
          <w:szCs w:val="32"/>
        </w:rPr>
        <w:t>积极探索与更多高校、智库、企业建立互动交流活动，形成</w:t>
      </w:r>
      <w:r>
        <w:rPr>
          <w:rFonts w:eastAsia="方正仿宋_GBK"/>
          <w:sz w:val="32"/>
          <w:szCs w:val="32"/>
        </w:rPr>
        <w:t>“</w:t>
      </w:r>
      <w:r>
        <w:rPr>
          <w:rFonts w:eastAsia="方正仿宋_GBK"/>
          <w:sz w:val="32"/>
          <w:szCs w:val="32"/>
        </w:rPr>
        <w:t>群策群力、</w:t>
      </w:r>
      <w:r>
        <w:rPr>
          <w:rFonts w:eastAsia="方正仿宋_GBK"/>
          <w:sz w:val="32"/>
          <w:szCs w:val="32"/>
        </w:rPr>
        <w:lastRenderedPageBreak/>
        <w:t>组团突破</w:t>
      </w:r>
      <w:r>
        <w:rPr>
          <w:rFonts w:eastAsia="方正仿宋_GBK"/>
          <w:sz w:val="32"/>
          <w:szCs w:val="32"/>
        </w:rPr>
        <w:t>”</w:t>
      </w:r>
      <w:r>
        <w:rPr>
          <w:rFonts w:eastAsia="方正仿宋_GBK"/>
          <w:sz w:val="32"/>
          <w:szCs w:val="32"/>
        </w:rPr>
        <w:t>的格局，为南京经济形势分析提供智力服务支撑，成为南京都市圈一流宏观经济研究联盟。</w:t>
      </w:r>
    </w:p>
    <w:p w:rsidR="00546122" w:rsidRDefault="00FA1383">
      <w:pPr>
        <w:spacing w:line="560" w:lineRule="exact"/>
        <w:ind w:firstLine="643"/>
        <w:rPr>
          <w:rFonts w:eastAsia="方正仿宋_GBK"/>
          <w:sz w:val="32"/>
          <w:szCs w:val="32"/>
        </w:rPr>
      </w:pPr>
      <w:r>
        <w:rPr>
          <w:rFonts w:eastAsia="方正仿宋_GBK"/>
          <w:b/>
          <w:sz w:val="32"/>
          <w:szCs w:val="32"/>
        </w:rPr>
        <w:t>四是聚焦重点工作推进，提升服务保障能力。</w:t>
      </w:r>
      <w:r>
        <w:rPr>
          <w:rFonts w:eastAsia="方正楷体_GBK"/>
          <w:sz w:val="32"/>
          <w:szCs w:val="32"/>
        </w:rPr>
        <w:t>在经济监测服务上，</w:t>
      </w:r>
      <w:r>
        <w:rPr>
          <w:rFonts w:eastAsia="方正仿宋_GBK"/>
          <w:sz w:val="32"/>
          <w:szCs w:val="32"/>
        </w:rPr>
        <w:t>积极利用现有数据来源，进一步拓展数据来源，</w:t>
      </w:r>
      <w:r>
        <w:rPr>
          <w:rFonts w:eastAsia="方正仿宋_GBK"/>
          <w:sz w:val="32"/>
          <w:szCs w:val="32"/>
        </w:rPr>
        <w:t>做好重点企业监测和先行指标数据监测，丰富非统计指标监测体系，构建经济趋势预测体系</w:t>
      </w:r>
      <w:r>
        <w:rPr>
          <w:sz w:val="32"/>
          <w:szCs w:val="32"/>
        </w:rPr>
        <w:t>。</w:t>
      </w:r>
      <w:r>
        <w:rPr>
          <w:rFonts w:eastAsia="方正楷体_GBK"/>
          <w:sz w:val="32"/>
          <w:szCs w:val="32"/>
        </w:rPr>
        <w:t>在委重点工作上，</w:t>
      </w:r>
      <w:r>
        <w:rPr>
          <w:sz w:val="32"/>
          <w:szCs w:val="32"/>
        </w:rPr>
        <w:t>重点围绕长江经济带发展、南京都市圈区域合作、营商环境优化、信用建设、集成电路产业链推进、枢纽建设等方面重点工作提供支撑服务。</w:t>
      </w:r>
      <w:r>
        <w:rPr>
          <w:rFonts w:eastAsia="方正楷体_GBK"/>
          <w:sz w:val="32"/>
          <w:szCs w:val="32"/>
        </w:rPr>
        <w:t>在信息咨询服务上，</w:t>
      </w:r>
      <w:r>
        <w:rPr>
          <w:rFonts w:eastAsia="方正仿宋_GBK"/>
          <w:sz w:val="32"/>
          <w:szCs w:val="32"/>
        </w:rPr>
        <w:t>进一步推进专家库规范管理，推进知网、安邦、万得等既有平台与新</w:t>
      </w:r>
      <w:r>
        <w:rPr>
          <w:rFonts w:eastAsia="方正仿宋_GBK"/>
          <w:sz w:val="32"/>
          <w:szCs w:val="32"/>
        </w:rPr>
        <w:t>OA</w:t>
      </w:r>
      <w:r>
        <w:rPr>
          <w:rFonts w:eastAsia="方正仿宋_GBK"/>
          <w:sz w:val="32"/>
          <w:szCs w:val="32"/>
        </w:rPr>
        <w:t>适配度建设，推进</w:t>
      </w:r>
      <w:r>
        <w:rPr>
          <w:rFonts w:eastAsia="方正仿宋_GBK"/>
          <w:sz w:val="32"/>
          <w:szCs w:val="32"/>
        </w:rPr>
        <w:t>20</w:t>
      </w:r>
      <w:r>
        <w:rPr>
          <w:rFonts w:eastAsia="方正仿宋_GBK"/>
          <w:sz w:val="32"/>
          <w:szCs w:val="32"/>
        </w:rPr>
        <w:t>个重点城市经济监测，强化信息数据服务能力。推进委内系统更多人员参与</w:t>
      </w:r>
      <w:r>
        <w:rPr>
          <w:rFonts w:eastAsia="方正仿宋_GBK"/>
          <w:sz w:val="32"/>
          <w:szCs w:val="32"/>
        </w:rPr>
        <w:t>“</w:t>
      </w:r>
      <w:r>
        <w:rPr>
          <w:rFonts w:eastAsia="方正仿宋_GBK"/>
          <w:sz w:val="32"/>
          <w:szCs w:val="32"/>
        </w:rPr>
        <w:t>中宏专家面对面</w:t>
      </w:r>
      <w:r>
        <w:rPr>
          <w:rFonts w:eastAsia="方正仿宋_GBK"/>
          <w:sz w:val="32"/>
          <w:szCs w:val="32"/>
        </w:rPr>
        <w:t>”</w:t>
      </w:r>
      <w:r>
        <w:rPr>
          <w:rFonts w:eastAsia="方正仿宋_GBK"/>
          <w:sz w:val="32"/>
          <w:szCs w:val="32"/>
        </w:rPr>
        <w:t>培训。</w:t>
      </w:r>
    </w:p>
    <w:p w:rsidR="00546122" w:rsidRDefault="00FA1383">
      <w:pPr>
        <w:spacing w:line="560" w:lineRule="exact"/>
        <w:ind w:firstLine="643"/>
        <w:rPr>
          <w:rFonts w:eastAsia="方正仿宋_GBK"/>
          <w:sz w:val="32"/>
          <w:szCs w:val="32"/>
        </w:rPr>
      </w:pPr>
      <w:r>
        <w:rPr>
          <w:rFonts w:eastAsia="方正仿宋_GBK"/>
          <w:b/>
          <w:sz w:val="32"/>
          <w:szCs w:val="32"/>
        </w:rPr>
        <w:t>五是梳理内外堵点痛点，激发中心活力。</w:t>
      </w:r>
      <w:r>
        <w:rPr>
          <w:rFonts w:eastAsia="方正楷体_GBK"/>
          <w:sz w:val="32"/>
          <w:szCs w:val="32"/>
        </w:rPr>
        <w:t>在完善制度上，</w:t>
      </w:r>
      <w:r>
        <w:rPr>
          <w:rFonts w:eastAsia="方正仿宋_GBK"/>
          <w:sz w:val="32"/>
          <w:szCs w:val="32"/>
        </w:rPr>
        <w:t>结合新形势，不断完善中心管理制度，切实做到用制</w:t>
      </w:r>
      <w:r>
        <w:rPr>
          <w:rFonts w:eastAsia="方正仿宋_GBK"/>
          <w:sz w:val="32"/>
          <w:szCs w:val="32"/>
        </w:rPr>
        <w:t>度管权、管事、管人，将预防关口前移，从源头上防范业务风险和廉政风险。</w:t>
      </w:r>
      <w:r>
        <w:rPr>
          <w:rFonts w:eastAsia="方正楷体_GBK"/>
          <w:sz w:val="32"/>
          <w:szCs w:val="32"/>
        </w:rPr>
        <w:t>在激发活力上，</w:t>
      </w:r>
      <w:r>
        <w:rPr>
          <w:rFonts w:eastAsia="方正仿宋_GBK"/>
          <w:sz w:val="32"/>
          <w:szCs w:val="32"/>
        </w:rPr>
        <w:t>利用党建、工会、群团组织活动，促进中心人员内部交流，提升中心凝聚力；结合绩效分配制度，以正确的用人导向激发干事创业人员活力。</w:t>
      </w:r>
      <w:r>
        <w:rPr>
          <w:rFonts w:eastAsia="方正楷体_GBK"/>
          <w:sz w:val="32"/>
          <w:szCs w:val="32"/>
        </w:rPr>
        <w:t>在提升能力上，</w:t>
      </w:r>
      <w:r>
        <w:rPr>
          <w:rFonts w:eastAsia="方正仿宋_GBK"/>
          <w:sz w:val="32"/>
          <w:szCs w:val="32"/>
        </w:rPr>
        <w:t>进一步拓展与国家、省相关部门和机构交流渠道，提升协同研究能力的同时扩大南京市影响；加强与高校、科研机构等智库的联系，共同挖掘、培养青年人才，推进课题研究和研究成果的共享；持续鼓励参与专业培训，提升研究能力。</w:t>
      </w:r>
      <w:bookmarkStart w:id="4" w:name="_GoBack"/>
      <w:bookmarkEnd w:id="4"/>
    </w:p>
    <w:p w:rsidR="00546122" w:rsidRDefault="00FA1383" w:rsidP="00693E53">
      <w:pPr>
        <w:pStyle w:val="30"/>
        <w:spacing w:beforeLines="150"/>
        <w:rPr>
          <w:rFonts w:ascii="Times New Roman" w:hAnsi="Times New Roman"/>
        </w:rPr>
      </w:pPr>
      <w:r>
        <w:rPr>
          <w:rFonts w:ascii="Times New Roman" w:hAnsi="Times New Roman"/>
        </w:rPr>
        <w:t>二、评价结论</w:t>
      </w:r>
    </w:p>
    <w:p w:rsidR="00546122" w:rsidRDefault="00FA1383">
      <w:pPr>
        <w:widowControl/>
        <w:spacing w:line="600" w:lineRule="exact"/>
        <w:ind w:firstLine="640"/>
        <w:rPr>
          <w:rFonts w:eastAsia="方正仿宋_GBK"/>
          <w:sz w:val="32"/>
          <w:szCs w:val="32"/>
        </w:rPr>
      </w:pPr>
      <w:r>
        <w:rPr>
          <w:rFonts w:eastAsia="方正仿宋_GBK"/>
          <w:sz w:val="32"/>
          <w:szCs w:val="32"/>
        </w:rPr>
        <w:lastRenderedPageBreak/>
        <w:t>评价组对本单位</w:t>
      </w:r>
      <w:r>
        <w:rPr>
          <w:rFonts w:eastAsia="方正仿宋_GBK" w:hint="eastAsia"/>
          <w:sz w:val="32"/>
          <w:szCs w:val="32"/>
        </w:rPr>
        <w:t>2024</w:t>
      </w:r>
      <w:r>
        <w:rPr>
          <w:rFonts w:eastAsia="方正仿宋_GBK"/>
          <w:sz w:val="32"/>
          <w:szCs w:val="32"/>
        </w:rPr>
        <w:t>年部门整体绩效进行客观评价，最终评分结果：总得分</w:t>
      </w:r>
      <w:r>
        <w:rPr>
          <w:rFonts w:eastAsia="方正仿宋_GBK"/>
          <w:sz w:val="32"/>
          <w:szCs w:val="32"/>
        </w:rPr>
        <w:t>9</w:t>
      </w:r>
      <w:r>
        <w:rPr>
          <w:rFonts w:eastAsia="方正仿宋_GBK" w:hint="eastAsia"/>
          <w:sz w:val="32"/>
          <w:szCs w:val="32"/>
        </w:rPr>
        <w:t>7</w:t>
      </w:r>
      <w:r>
        <w:rPr>
          <w:rFonts w:eastAsia="方正仿宋_GBK"/>
          <w:sz w:val="32"/>
          <w:szCs w:val="32"/>
        </w:rPr>
        <w:t>分，评价等级为</w:t>
      </w:r>
      <w:r>
        <w:rPr>
          <w:rFonts w:eastAsia="方正仿宋_GBK"/>
          <w:sz w:val="32"/>
          <w:szCs w:val="32"/>
        </w:rPr>
        <w:t>“</w:t>
      </w:r>
      <w:r>
        <w:rPr>
          <w:rFonts w:eastAsia="方正仿宋_GBK"/>
          <w:sz w:val="32"/>
          <w:szCs w:val="32"/>
        </w:rPr>
        <w:t>优</w:t>
      </w:r>
      <w:r>
        <w:rPr>
          <w:rFonts w:eastAsia="方正仿宋_GBK"/>
          <w:sz w:val="32"/>
          <w:szCs w:val="32"/>
        </w:rPr>
        <w:t>”</w:t>
      </w:r>
      <w:r>
        <w:rPr>
          <w:rFonts w:eastAsia="方正仿宋_GBK"/>
          <w:sz w:val="32"/>
          <w:szCs w:val="32"/>
        </w:rPr>
        <w:t>。宏观中心在</w:t>
      </w:r>
      <w:r>
        <w:rPr>
          <w:rFonts w:eastAsia="方正仿宋_GBK" w:hint="eastAsia"/>
          <w:sz w:val="32"/>
          <w:szCs w:val="32"/>
        </w:rPr>
        <w:t>2024</w:t>
      </w:r>
      <w:r>
        <w:rPr>
          <w:rFonts w:eastAsia="方正仿宋_GBK"/>
          <w:sz w:val="32"/>
          <w:szCs w:val="32"/>
        </w:rPr>
        <w:t>年度部门整体支出在部门决策、履职绩效两个方面取得了较好的成绩，而在部门管理、可持续能力建设方面则要进一步改进和加强。具体得分情况如下表：</w:t>
      </w:r>
    </w:p>
    <w:p w:rsidR="00546122" w:rsidRDefault="00546122">
      <w:pPr>
        <w:pStyle w:val="20"/>
        <w:ind w:left="560" w:firstLine="560"/>
      </w:pPr>
    </w:p>
    <w:p w:rsidR="00546122" w:rsidRDefault="00546122">
      <w:pPr>
        <w:pStyle w:val="20"/>
        <w:ind w:left="560" w:firstLine="640"/>
        <w:rPr>
          <w:rFonts w:eastAsia="方正仿宋_GBK"/>
          <w:sz w:val="32"/>
          <w:szCs w:val="32"/>
        </w:rPr>
      </w:pPr>
    </w:p>
    <w:p w:rsidR="00546122" w:rsidRDefault="00546122">
      <w:pPr>
        <w:ind w:firstLine="560"/>
      </w:pPr>
    </w:p>
    <w:tbl>
      <w:tblPr>
        <w:tblStyle w:val="5-61"/>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558"/>
        <w:gridCol w:w="1805"/>
        <w:gridCol w:w="1630"/>
        <w:gridCol w:w="1751"/>
        <w:gridCol w:w="1601"/>
      </w:tblGrid>
      <w:tr w:rsidR="00546122" w:rsidTr="00546122">
        <w:trPr>
          <w:cnfStyle w:val="100000000000"/>
          <w:trHeight w:val="454"/>
          <w:tblHeader/>
          <w:jc w:val="center"/>
        </w:trPr>
        <w:tc>
          <w:tcPr>
            <w:cnfStyle w:val="001000000000"/>
            <w:tcW w:w="933" w:type="pc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一级指标</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二级指标</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分值</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得分</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100000000000"/>
              <w:rPr>
                <w:b w:val="0"/>
                <w:bCs w:val="0"/>
                <w:kern w:val="0"/>
                <w:sz w:val="24"/>
              </w:rPr>
            </w:pPr>
            <w:r>
              <w:rPr>
                <w:color w:val="auto"/>
                <w:kern w:val="0"/>
                <w:sz w:val="24"/>
              </w:rPr>
              <w:t>得分率</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部门决策</w:t>
            </w:r>
          </w:p>
          <w:p w:rsidR="00546122" w:rsidRDefault="00FA1383">
            <w:pPr>
              <w:widowControl/>
              <w:spacing w:line="240" w:lineRule="auto"/>
              <w:ind w:firstLineChars="0" w:firstLine="0"/>
              <w:jc w:val="center"/>
              <w:rPr>
                <w:b w:val="0"/>
                <w:bCs w:val="0"/>
                <w:kern w:val="0"/>
                <w:sz w:val="24"/>
              </w:rPr>
            </w:pPr>
            <w:r>
              <w:rPr>
                <w:color w:val="auto"/>
                <w:kern w:val="0"/>
                <w:sz w:val="24"/>
              </w:rPr>
              <w:t>（</w:t>
            </w:r>
            <w:r>
              <w:rPr>
                <w:color w:val="auto"/>
                <w:kern w:val="0"/>
                <w:sz w:val="24"/>
              </w:rPr>
              <w:t>15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决策机制</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6</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6</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中长期规划</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3</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年度工作计划</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67</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部门预算编制</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3</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3</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kern w:val="0"/>
                <w:sz w:val="24"/>
              </w:rPr>
            </w:pPr>
            <w:r>
              <w:rPr>
                <w:color w:val="auto"/>
                <w:kern w:val="0"/>
                <w:sz w:val="24"/>
              </w:rPr>
              <w:t>部门管理</w:t>
            </w:r>
          </w:p>
          <w:p w:rsidR="00546122" w:rsidRDefault="00FA1383">
            <w:pPr>
              <w:widowControl/>
              <w:spacing w:line="240" w:lineRule="auto"/>
              <w:ind w:firstLineChars="0" w:firstLine="0"/>
              <w:jc w:val="center"/>
              <w:rPr>
                <w:b w:val="0"/>
                <w:bCs w:val="0"/>
                <w:kern w:val="0"/>
                <w:sz w:val="24"/>
              </w:rPr>
            </w:pPr>
            <w:r>
              <w:rPr>
                <w:color w:val="auto"/>
                <w:kern w:val="0"/>
                <w:sz w:val="24"/>
              </w:rPr>
              <w:t>（</w:t>
            </w:r>
            <w:r>
              <w:rPr>
                <w:color w:val="auto"/>
                <w:kern w:val="0"/>
                <w:sz w:val="24"/>
              </w:rPr>
              <w:t>2</w:t>
            </w:r>
            <w:r>
              <w:rPr>
                <w:rFonts w:hint="eastAsia"/>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预算执行</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9</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4</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44%</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收支管理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资产管理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政府采购管理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合同管理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绩效管理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内部控制管理</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6</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6</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部门履职</w:t>
            </w:r>
            <w:r>
              <w:rPr>
                <w:color w:val="auto"/>
                <w:kern w:val="0"/>
                <w:sz w:val="24"/>
              </w:rPr>
              <w:br/>
            </w:r>
            <w:r>
              <w:rPr>
                <w:color w:val="auto"/>
                <w:kern w:val="0"/>
                <w:sz w:val="24"/>
              </w:rPr>
              <w:t>（</w:t>
            </w:r>
            <w:r>
              <w:rPr>
                <w:color w:val="auto"/>
                <w:kern w:val="0"/>
                <w:sz w:val="24"/>
              </w:rPr>
              <w:t>3</w:t>
            </w:r>
            <w:r>
              <w:rPr>
                <w:rFonts w:hint="eastAsia"/>
                <w:color w:val="auto"/>
                <w:kern w:val="0"/>
                <w:sz w:val="24"/>
              </w:rPr>
              <w:t>3</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课题研究工作完成情况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专题研究工作完成情况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经济监测</w:t>
            </w:r>
            <w:r>
              <w:rPr>
                <w:rFonts w:hint="eastAsia"/>
                <w:color w:val="000000"/>
                <w:kern w:val="0"/>
                <w:sz w:val="24"/>
              </w:rPr>
              <w:t>工作完成情况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8</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8</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1"/>
                <w:szCs w:val="21"/>
              </w:rPr>
              <w:t>重大政策研究参与情况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5</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履职绩效</w:t>
            </w:r>
            <w:r>
              <w:rPr>
                <w:color w:val="auto"/>
                <w:kern w:val="0"/>
                <w:sz w:val="24"/>
              </w:rPr>
              <w:br/>
            </w:r>
            <w:r>
              <w:rPr>
                <w:color w:val="auto"/>
                <w:kern w:val="0"/>
                <w:sz w:val="24"/>
              </w:rPr>
              <w:t>（</w:t>
            </w:r>
            <w:r>
              <w:rPr>
                <w:color w:val="auto"/>
                <w:kern w:val="0"/>
                <w:sz w:val="24"/>
              </w:rPr>
              <w:t>2</w:t>
            </w:r>
            <w:r>
              <w:rPr>
                <w:rFonts w:hint="eastAsia"/>
                <w:color w:val="auto"/>
                <w:kern w:val="0"/>
                <w:sz w:val="24"/>
              </w:rPr>
              <w:t>2</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社会效益</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rFonts w:hint="eastAsia"/>
                <w:color w:val="000000"/>
                <w:kern w:val="0"/>
                <w:sz w:val="24"/>
              </w:rPr>
              <w:t>12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满意度</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10</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100</w:t>
            </w:r>
            <w:r>
              <w:rPr>
                <w:color w:val="000000" w:themeColor="text1"/>
                <w:kern w:val="0"/>
                <w:sz w:val="24"/>
              </w:rPr>
              <w:t>%</w:t>
            </w: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lastRenderedPageBreak/>
              <w:t>可持续发展能力</w:t>
            </w:r>
            <w:r>
              <w:rPr>
                <w:color w:val="auto"/>
                <w:kern w:val="0"/>
                <w:sz w:val="24"/>
              </w:rPr>
              <w:br/>
            </w:r>
            <w:r>
              <w:rPr>
                <w:color w:val="auto"/>
                <w:kern w:val="0"/>
                <w:sz w:val="24"/>
              </w:rPr>
              <w:t>（</w:t>
            </w:r>
            <w:r>
              <w:rPr>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信息化建设情况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2</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100%</w:t>
            </w: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人力资源建设情况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2</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1</w:t>
            </w:r>
          </w:p>
        </w:tc>
        <w:tc>
          <w:tcPr>
            <w:tcW w:w="95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rFonts w:hint="eastAsia"/>
                <w:color w:val="000000" w:themeColor="text1"/>
                <w:kern w:val="0"/>
                <w:sz w:val="24"/>
              </w:rPr>
              <w:t>50</w:t>
            </w:r>
            <w:r>
              <w:rPr>
                <w:color w:val="000000" w:themeColor="text1"/>
                <w:kern w:val="0"/>
                <w:sz w:val="24"/>
              </w:rPr>
              <w:t>%</w:t>
            </w:r>
          </w:p>
        </w:tc>
      </w:tr>
      <w:tr w:rsidR="00546122" w:rsidTr="00546122">
        <w:trPr>
          <w:trHeight w:val="77"/>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部门创新情况</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1</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themeColor="text1"/>
                <w:kern w:val="0"/>
                <w:sz w:val="24"/>
              </w:rPr>
            </w:pPr>
            <w:r>
              <w:rPr>
                <w:color w:val="000000" w:themeColor="text1"/>
                <w:kern w:val="0"/>
                <w:sz w:val="24"/>
              </w:rPr>
              <w:t>0</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color w:val="000000" w:themeColor="text1"/>
                <w:kern w:val="0"/>
                <w:sz w:val="24"/>
              </w:rPr>
            </w:pPr>
          </w:p>
        </w:tc>
      </w:tr>
      <w:tr w:rsidR="00546122" w:rsidTr="00546122">
        <w:trPr>
          <w:trHeight w:val="454"/>
          <w:jc w:val="center"/>
        </w:trPr>
        <w:tc>
          <w:tcPr>
            <w:cnfStyle w:val="001000000000"/>
            <w:tcW w:w="933" w:type="pct"/>
            <w:vMerge w:val="restar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加减分项</w:t>
            </w:r>
            <w:r>
              <w:rPr>
                <w:color w:val="auto"/>
                <w:kern w:val="0"/>
                <w:sz w:val="24"/>
              </w:rPr>
              <w:br/>
            </w:r>
            <w:r>
              <w:rPr>
                <w:color w:val="auto"/>
                <w:kern w:val="0"/>
                <w:sz w:val="24"/>
              </w:rPr>
              <w:t>（</w:t>
            </w:r>
            <w:r>
              <w:rPr>
                <w:color w:val="auto"/>
                <w:kern w:val="0"/>
                <w:sz w:val="24"/>
              </w:rPr>
              <w:t>5</w:t>
            </w:r>
            <w:r>
              <w:rPr>
                <w:color w:val="auto"/>
                <w:kern w:val="0"/>
                <w:sz w:val="24"/>
              </w:rPr>
              <w:t>分）</w:t>
            </w: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加分项</w:t>
            </w: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kern w:val="0"/>
                <w:sz w:val="24"/>
              </w:rPr>
            </w:pPr>
            <w:r>
              <w:rPr>
                <w:kern w:val="0"/>
                <w:sz w:val="24"/>
              </w:rPr>
              <w:t>5</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color w:val="FF0000"/>
                <w:kern w:val="0"/>
                <w:sz w:val="24"/>
              </w:rPr>
            </w:pPr>
          </w:p>
        </w:tc>
      </w:tr>
      <w:tr w:rsidR="00546122" w:rsidTr="00546122">
        <w:trPr>
          <w:trHeight w:val="454"/>
          <w:jc w:val="center"/>
        </w:trPr>
        <w:tc>
          <w:tcPr>
            <w:cnfStyle w:val="001000000000"/>
            <w:tcW w:w="933" w:type="pct"/>
            <w:vMerge/>
            <w:shd w:val="clear" w:color="auto" w:fill="FFFFFF" w:themeFill="background1"/>
            <w:vAlign w:val="center"/>
          </w:tcPr>
          <w:p w:rsidR="00546122" w:rsidRDefault="00546122">
            <w:pPr>
              <w:widowControl/>
              <w:spacing w:line="240" w:lineRule="auto"/>
              <w:ind w:firstLineChars="0" w:firstLine="0"/>
              <w:jc w:val="center"/>
              <w:rPr>
                <w:b w:val="0"/>
                <w:bCs w:val="0"/>
                <w:kern w:val="0"/>
                <w:sz w:val="24"/>
              </w:rPr>
            </w:pPr>
          </w:p>
        </w:tc>
        <w:tc>
          <w:tcPr>
            <w:tcW w:w="1081" w:type="pct"/>
            <w:shd w:val="clear" w:color="auto" w:fill="FFFFFF" w:themeFill="background1"/>
            <w:vAlign w:val="center"/>
          </w:tcPr>
          <w:p w:rsidR="00546122" w:rsidRDefault="00FA1383">
            <w:pPr>
              <w:widowControl/>
              <w:spacing w:line="240" w:lineRule="auto"/>
              <w:ind w:firstLineChars="0" w:firstLine="0"/>
              <w:jc w:val="center"/>
              <w:cnfStyle w:val="000000000000"/>
              <w:rPr>
                <w:color w:val="000000"/>
                <w:kern w:val="0"/>
                <w:sz w:val="24"/>
              </w:rPr>
            </w:pPr>
            <w:r>
              <w:rPr>
                <w:color w:val="000000"/>
                <w:kern w:val="0"/>
                <w:sz w:val="24"/>
              </w:rPr>
              <w:t>减分项</w:t>
            </w:r>
          </w:p>
        </w:tc>
        <w:tc>
          <w:tcPr>
            <w:tcW w:w="976" w:type="pct"/>
            <w:shd w:val="clear" w:color="auto" w:fill="FFFFFF" w:themeFill="background1"/>
            <w:vAlign w:val="center"/>
          </w:tcPr>
          <w:p w:rsidR="00546122" w:rsidRDefault="00546122">
            <w:pPr>
              <w:widowControl/>
              <w:spacing w:line="240" w:lineRule="auto"/>
              <w:ind w:firstLineChars="0" w:firstLine="0"/>
              <w:jc w:val="center"/>
              <w:cnfStyle w:val="000000000000"/>
              <w:rPr>
                <w:color w:val="000000"/>
                <w:kern w:val="0"/>
                <w:sz w:val="24"/>
              </w:rPr>
            </w:pPr>
          </w:p>
        </w:tc>
        <w:tc>
          <w:tcPr>
            <w:tcW w:w="1049" w:type="pct"/>
            <w:shd w:val="clear" w:color="auto" w:fill="FFFFFF" w:themeFill="background1"/>
            <w:vAlign w:val="center"/>
          </w:tcPr>
          <w:p w:rsidR="00546122" w:rsidRDefault="00546122">
            <w:pPr>
              <w:widowControl/>
              <w:spacing w:line="240" w:lineRule="auto"/>
              <w:ind w:firstLineChars="0" w:firstLine="0"/>
              <w:jc w:val="center"/>
              <w:cnfStyle w:val="000000000000"/>
              <w:rPr>
                <w:kern w:val="0"/>
                <w:sz w:val="24"/>
              </w:rPr>
            </w:pP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kern w:val="0"/>
                <w:sz w:val="24"/>
              </w:rPr>
            </w:pPr>
          </w:p>
        </w:tc>
      </w:tr>
      <w:tr w:rsidR="00546122" w:rsidTr="00546122">
        <w:trPr>
          <w:trHeight w:val="454"/>
          <w:jc w:val="center"/>
        </w:trPr>
        <w:tc>
          <w:tcPr>
            <w:cnfStyle w:val="001000000000"/>
            <w:tcW w:w="933" w:type="pct"/>
            <w:shd w:val="clear" w:color="auto" w:fill="FFFFFF" w:themeFill="background1"/>
            <w:vAlign w:val="center"/>
          </w:tcPr>
          <w:p w:rsidR="00546122" w:rsidRDefault="00FA1383">
            <w:pPr>
              <w:widowControl/>
              <w:spacing w:line="240" w:lineRule="auto"/>
              <w:ind w:firstLineChars="0" w:firstLine="0"/>
              <w:jc w:val="center"/>
              <w:rPr>
                <w:b w:val="0"/>
                <w:bCs w:val="0"/>
                <w:kern w:val="0"/>
                <w:sz w:val="24"/>
              </w:rPr>
            </w:pPr>
            <w:r>
              <w:rPr>
                <w:color w:val="auto"/>
                <w:kern w:val="0"/>
                <w:sz w:val="24"/>
              </w:rPr>
              <w:t>总分</w:t>
            </w:r>
          </w:p>
        </w:tc>
        <w:tc>
          <w:tcPr>
            <w:tcW w:w="1081" w:type="pct"/>
            <w:shd w:val="clear" w:color="auto" w:fill="FFFFFF" w:themeFill="background1"/>
            <w:vAlign w:val="center"/>
          </w:tcPr>
          <w:p w:rsidR="00546122" w:rsidRDefault="00546122">
            <w:pPr>
              <w:widowControl/>
              <w:spacing w:line="240" w:lineRule="auto"/>
              <w:ind w:firstLineChars="0" w:firstLine="0"/>
              <w:jc w:val="center"/>
              <w:cnfStyle w:val="000000000000"/>
              <w:rPr>
                <w:b/>
                <w:bCs/>
                <w:color w:val="000000"/>
                <w:kern w:val="0"/>
                <w:sz w:val="24"/>
              </w:rPr>
            </w:pPr>
          </w:p>
        </w:tc>
        <w:tc>
          <w:tcPr>
            <w:tcW w:w="976" w:type="pct"/>
            <w:shd w:val="clear" w:color="auto" w:fill="FFFFFF" w:themeFill="background1"/>
            <w:vAlign w:val="center"/>
          </w:tcPr>
          <w:p w:rsidR="00546122" w:rsidRDefault="00FA1383">
            <w:pPr>
              <w:widowControl/>
              <w:spacing w:line="240" w:lineRule="auto"/>
              <w:ind w:firstLineChars="0" w:firstLine="0"/>
              <w:jc w:val="center"/>
              <w:cnfStyle w:val="000000000000"/>
              <w:rPr>
                <w:b/>
                <w:bCs/>
                <w:color w:val="000000"/>
                <w:kern w:val="0"/>
                <w:sz w:val="24"/>
              </w:rPr>
            </w:pPr>
            <w:r>
              <w:rPr>
                <w:b/>
                <w:bCs/>
                <w:color w:val="000000"/>
                <w:kern w:val="0"/>
                <w:sz w:val="24"/>
              </w:rPr>
              <w:t>105</w:t>
            </w:r>
          </w:p>
        </w:tc>
        <w:tc>
          <w:tcPr>
            <w:tcW w:w="1049" w:type="pct"/>
            <w:shd w:val="clear" w:color="auto" w:fill="FFFFFF" w:themeFill="background1"/>
            <w:vAlign w:val="center"/>
          </w:tcPr>
          <w:p w:rsidR="00546122" w:rsidRDefault="00FA1383">
            <w:pPr>
              <w:widowControl/>
              <w:spacing w:line="240" w:lineRule="auto"/>
              <w:ind w:firstLineChars="0" w:firstLine="0"/>
              <w:jc w:val="center"/>
              <w:cnfStyle w:val="000000000000"/>
              <w:rPr>
                <w:b/>
                <w:bCs/>
                <w:kern w:val="0"/>
                <w:sz w:val="24"/>
              </w:rPr>
            </w:pPr>
            <w:r>
              <w:rPr>
                <w:b/>
                <w:bCs/>
                <w:kern w:val="0"/>
                <w:sz w:val="24"/>
              </w:rPr>
              <w:t>9</w:t>
            </w:r>
            <w:r>
              <w:rPr>
                <w:rFonts w:hint="eastAsia"/>
                <w:b/>
                <w:bCs/>
                <w:kern w:val="0"/>
                <w:sz w:val="24"/>
              </w:rPr>
              <w:t>7</w:t>
            </w:r>
          </w:p>
        </w:tc>
        <w:tc>
          <w:tcPr>
            <w:tcW w:w="959" w:type="pct"/>
            <w:shd w:val="clear" w:color="auto" w:fill="FFFFFF" w:themeFill="background1"/>
            <w:vAlign w:val="center"/>
          </w:tcPr>
          <w:p w:rsidR="00546122" w:rsidRDefault="00546122">
            <w:pPr>
              <w:widowControl/>
              <w:spacing w:line="240" w:lineRule="auto"/>
              <w:ind w:firstLineChars="0" w:firstLine="0"/>
              <w:jc w:val="center"/>
              <w:cnfStyle w:val="000000000000"/>
              <w:rPr>
                <w:b/>
                <w:bCs/>
                <w:color w:val="000000"/>
                <w:kern w:val="0"/>
                <w:sz w:val="24"/>
              </w:rPr>
            </w:pPr>
          </w:p>
        </w:tc>
      </w:tr>
    </w:tbl>
    <w:p w:rsidR="00546122" w:rsidRDefault="00546122" w:rsidP="00693E53">
      <w:pPr>
        <w:pStyle w:val="30"/>
        <w:spacing w:beforeLines="150"/>
        <w:rPr>
          <w:rFonts w:ascii="Times New Roman" w:hAnsi="Times New Roman"/>
        </w:rPr>
      </w:pPr>
      <w:bookmarkStart w:id="5" w:name="_Toc47023293"/>
    </w:p>
    <w:p w:rsidR="00546122" w:rsidRDefault="00FA1383" w:rsidP="00693E53">
      <w:pPr>
        <w:pStyle w:val="30"/>
        <w:spacing w:beforeLines="150"/>
        <w:rPr>
          <w:rFonts w:ascii="Times New Roman" w:hAnsi="Times New Roman"/>
        </w:rPr>
      </w:pPr>
      <w:r>
        <w:rPr>
          <w:rFonts w:ascii="Times New Roman" w:hAnsi="Times New Roman"/>
        </w:rPr>
        <w:t>三、</w:t>
      </w:r>
      <w:bookmarkEnd w:id="5"/>
      <w:r>
        <w:rPr>
          <w:rFonts w:ascii="Times New Roman" w:hAnsi="Times New Roman"/>
        </w:rPr>
        <w:t>部门履职成效</w:t>
      </w:r>
    </w:p>
    <w:p w:rsidR="00546122" w:rsidRDefault="00FA1383">
      <w:pPr>
        <w:widowControl/>
        <w:ind w:firstLine="640"/>
        <w:rPr>
          <w:rFonts w:eastAsia="方正仿宋_GBK"/>
          <w:sz w:val="32"/>
          <w:szCs w:val="32"/>
        </w:rPr>
      </w:pPr>
      <w:r>
        <w:rPr>
          <w:rFonts w:eastAsia="方正仿宋_GBK"/>
          <w:sz w:val="32"/>
          <w:szCs w:val="32"/>
        </w:rPr>
        <w:t>2024</w:t>
      </w:r>
      <w:r>
        <w:rPr>
          <w:rFonts w:eastAsia="方正仿宋_GBK"/>
          <w:sz w:val="32"/>
          <w:szCs w:val="32"/>
        </w:rPr>
        <w:t>年，南京市宏观经济研究中心（以下简称</w:t>
      </w:r>
      <w:r>
        <w:rPr>
          <w:rFonts w:eastAsia="方正仿宋_GBK"/>
          <w:sz w:val="32"/>
          <w:szCs w:val="32"/>
        </w:rPr>
        <w:t>“</w:t>
      </w:r>
      <w:r>
        <w:rPr>
          <w:rFonts w:eastAsia="方正仿宋_GBK"/>
          <w:sz w:val="32"/>
          <w:szCs w:val="32"/>
        </w:rPr>
        <w:t>中心</w:t>
      </w:r>
      <w:r>
        <w:rPr>
          <w:rFonts w:eastAsia="方正仿宋_GBK"/>
          <w:sz w:val="32"/>
          <w:szCs w:val="32"/>
        </w:rPr>
        <w:t>”</w:t>
      </w:r>
      <w:r>
        <w:rPr>
          <w:rFonts w:eastAsia="方正仿宋_GBK"/>
          <w:sz w:val="32"/>
          <w:szCs w:val="32"/>
        </w:rPr>
        <w:t>）在市发改委党组正确领导下，紧紧围绕市委市政府中心工作和市发改委重点任务，全面推进</w:t>
      </w:r>
      <w:bookmarkStart w:id="6" w:name="OLE_LINK1"/>
      <w:r>
        <w:rPr>
          <w:rFonts w:eastAsia="方正仿宋_GBK"/>
          <w:sz w:val="32"/>
          <w:szCs w:val="32"/>
        </w:rPr>
        <w:t>政治建设、思想建设、组织建设、作风建设、纪律建设</w:t>
      </w:r>
      <w:bookmarkEnd w:id="6"/>
      <w:r>
        <w:rPr>
          <w:rFonts w:eastAsia="方正仿宋_GBK"/>
          <w:sz w:val="32"/>
          <w:szCs w:val="32"/>
        </w:rPr>
        <w:t>，</w:t>
      </w:r>
      <w:r>
        <w:rPr>
          <w:rFonts w:ascii="方正仿宋_GBK" w:eastAsia="方正仿宋_GBK" w:hAnsi="方正仿宋_GBK" w:cs="方正仿宋_GBK" w:hint="eastAsia"/>
          <w:sz w:val="32"/>
          <w:szCs w:val="32"/>
        </w:rPr>
        <w:t>组织开展</w:t>
      </w:r>
      <w:r w:rsidR="00693E53">
        <w:rPr>
          <w:rFonts w:ascii="方正仿宋_GBK" w:eastAsia="方正仿宋_GBK" w:hAnsi="方正仿宋_GBK" w:cs="方正仿宋_GBK" w:hint="eastAsia"/>
          <w:sz w:val="32"/>
          <w:szCs w:val="32"/>
        </w:rPr>
        <w:t>党纪学习教育</w:t>
      </w:r>
      <w:r>
        <w:rPr>
          <w:rFonts w:ascii="方正仿宋_GBK" w:eastAsia="方正仿宋_GBK" w:hAnsi="方正仿宋_GBK" w:cs="方正仿宋_GBK" w:hint="eastAsia"/>
          <w:sz w:val="32"/>
          <w:szCs w:val="32"/>
        </w:rPr>
        <w:t>，</w:t>
      </w:r>
      <w:r>
        <w:rPr>
          <w:rFonts w:eastAsia="方正仿宋_GBK"/>
          <w:sz w:val="32"/>
          <w:szCs w:val="32"/>
        </w:rPr>
        <w:t>全面落实从严治党要求，积极抓好党风廉政建设，聚力推进</w:t>
      </w:r>
      <w:r>
        <w:rPr>
          <w:rFonts w:eastAsia="方正仿宋_GBK" w:hint="eastAsia"/>
          <w:sz w:val="32"/>
          <w:szCs w:val="32"/>
        </w:rPr>
        <w:t>调研</w:t>
      </w:r>
      <w:r>
        <w:rPr>
          <w:rFonts w:eastAsia="方正仿宋_GBK"/>
          <w:sz w:val="32"/>
          <w:szCs w:val="32"/>
        </w:rPr>
        <w:t>课题研究，</w:t>
      </w:r>
      <w:r>
        <w:rPr>
          <w:rFonts w:eastAsia="方正仿宋_GBK" w:hint="eastAsia"/>
          <w:sz w:val="32"/>
          <w:szCs w:val="32"/>
        </w:rPr>
        <w:t>持续加强</w:t>
      </w:r>
      <w:r>
        <w:rPr>
          <w:rFonts w:eastAsia="方正仿宋_GBK"/>
          <w:sz w:val="32"/>
          <w:szCs w:val="32"/>
        </w:rPr>
        <w:t>经济监测预测，</w:t>
      </w:r>
      <w:r>
        <w:rPr>
          <w:rFonts w:eastAsia="方正仿宋_GBK" w:hint="eastAsia"/>
          <w:sz w:val="32"/>
          <w:szCs w:val="32"/>
        </w:rPr>
        <w:t>大力</w:t>
      </w:r>
      <w:r>
        <w:rPr>
          <w:rFonts w:eastAsia="方正仿宋_GBK"/>
          <w:sz w:val="32"/>
          <w:szCs w:val="32"/>
        </w:rPr>
        <w:t>提供</w:t>
      </w:r>
      <w:r>
        <w:rPr>
          <w:rFonts w:eastAsia="方正仿宋_GBK" w:hint="eastAsia"/>
          <w:sz w:val="32"/>
          <w:szCs w:val="32"/>
        </w:rPr>
        <w:t>中心业务</w:t>
      </w:r>
      <w:r>
        <w:rPr>
          <w:rFonts w:eastAsia="方正仿宋_GBK"/>
          <w:sz w:val="32"/>
          <w:szCs w:val="32"/>
        </w:rPr>
        <w:t>服务，全面</w:t>
      </w:r>
      <w:r>
        <w:rPr>
          <w:rFonts w:eastAsia="方正仿宋_GBK" w:hint="eastAsia"/>
          <w:sz w:val="32"/>
          <w:szCs w:val="32"/>
        </w:rPr>
        <w:t>强化</w:t>
      </w:r>
      <w:r>
        <w:rPr>
          <w:rFonts w:eastAsia="方正仿宋_GBK"/>
          <w:sz w:val="32"/>
          <w:szCs w:val="32"/>
        </w:rPr>
        <w:t>安全生产</w:t>
      </w:r>
      <w:r>
        <w:rPr>
          <w:rFonts w:eastAsia="方正仿宋_GBK" w:hint="eastAsia"/>
          <w:sz w:val="32"/>
          <w:szCs w:val="32"/>
        </w:rPr>
        <w:t>责任</w:t>
      </w:r>
      <w:r>
        <w:rPr>
          <w:rFonts w:eastAsia="方正仿宋_GBK"/>
          <w:sz w:val="32"/>
          <w:szCs w:val="32"/>
        </w:rPr>
        <w:t>，顺利完成</w:t>
      </w:r>
      <w:r>
        <w:rPr>
          <w:rFonts w:eastAsia="方正仿宋_GBK"/>
          <w:sz w:val="32"/>
          <w:szCs w:val="32"/>
        </w:rPr>
        <w:t>2024</w:t>
      </w:r>
      <w:r>
        <w:rPr>
          <w:rFonts w:eastAsia="方正仿宋_GBK"/>
          <w:sz w:val="32"/>
          <w:szCs w:val="32"/>
        </w:rPr>
        <w:t>年各项工作任务</w:t>
      </w:r>
      <w:r>
        <w:rPr>
          <w:rFonts w:eastAsia="方正楷体_GBK"/>
          <w:sz w:val="32"/>
          <w:szCs w:val="32"/>
        </w:rPr>
        <w:t>。</w:t>
      </w:r>
    </w:p>
    <w:p w:rsidR="00546122" w:rsidRDefault="00FA1383">
      <w:pPr>
        <w:spacing w:line="560" w:lineRule="exact"/>
        <w:ind w:firstLine="643"/>
        <w:outlineLvl w:val="1"/>
        <w:rPr>
          <w:rFonts w:eastAsia="方正楷体_GBK"/>
          <w:b/>
          <w:sz w:val="32"/>
          <w:szCs w:val="32"/>
        </w:rPr>
      </w:pPr>
      <w:r>
        <w:rPr>
          <w:rFonts w:eastAsia="方正楷体_GBK"/>
          <w:b/>
          <w:bCs/>
          <w:sz w:val="32"/>
          <w:szCs w:val="32"/>
        </w:rPr>
        <w:t>（一）</w:t>
      </w:r>
      <w:r>
        <w:rPr>
          <w:rFonts w:eastAsia="方正楷体_GBK" w:hint="eastAsia"/>
          <w:b/>
          <w:bCs/>
          <w:sz w:val="32"/>
          <w:szCs w:val="32"/>
        </w:rPr>
        <w:t>夯实党建工作</w:t>
      </w:r>
      <w:r>
        <w:rPr>
          <w:rFonts w:eastAsia="方正楷体_GBK"/>
          <w:b/>
          <w:bCs/>
          <w:sz w:val="32"/>
          <w:szCs w:val="32"/>
        </w:rPr>
        <w:t>，</w:t>
      </w:r>
      <w:r>
        <w:rPr>
          <w:rFonts w:eastAsia="方正楷体_GBK" w:hint="eastAsia"/>
          <w:b/>
          <w:bCs/>
          <w:sz w:val="32"/>
          <w:szCs w:val="32"/>
        </w:rPr>
        <w:t>矢志不移</w:t>
      </w:r>
      <w:r>
        <w:rPr>
          <w:rFonts w:eastAsia="方正楷体_GBK"/>
          <w:b/>
          <w:bCs/>
          <w:sz w:val="32"/>
          <w:szCs w:val="32"/>
        </w:rPr>
        <w:t>强化政治引领</w:t>
      </w:r>
    </w:p>
    <w:p w:rsidR="00546122" w:rsidRDefault="00FA1383">
      <w:pPr>
        <w:spacing w:line="560" w:lineRule="exact"/>
        <w:ind w:firstLine="640"/>
        <w:rPr>
          <w:rFonts w:eastAsia="方正仿宋_GBK"/>
          <w:sz w:val="32"/>
          <w:szCs w:val="32"/>
        </w:rPr>
      </w:pPr>
      <w:r>
        <w:rPr>
          <w:rFonts w:eastAsia="方正仿宋_GBK"/>
          <w:sz w:val="32"/>
          <w:szCs w:val="32"/>
        </w:rPr>
        <w:t>中心支部突出政治引领，以</w:t>
      </w:r>
      <w:r>
        <w:rPr>
          <w:rFonts w:eastAsia="方正仿宋_GBK" w:hint="eastAsia"/>
          <w:color w:val="000000"/>
          <w:sz w:val="32"/>
          <w:szCs w:val="32"/>
          <w:shd w:val="clear" w:color="auto" w:fill="FFFFFF"/>
        </w:rPr>
        <w:t>学习贯彻党的二十届三中全会精神和开展</w:t>
      </w:r>
      <w:r>
        <w:rPr>
          <w:rFonts w:eastAsia="方正仿宋_GBK"/>
          <w:color w:val="000000"/>
          <w:sz w:val="32"/>
          <w:szCs w:val="32"/>
          <w:shd w:val="clear" w:color="auto" w:fill="FFFFFF"/>
        </w:rPr>
        <w:t>党纪教育</w:t>
      </w:r>
      <w:r>
        <w:rPr>
          <w:rFonts w:eastAsia="方正仿宋_GBK" w:hint="eastAsia"/>
          <w:color w:val="000000"/>
          <w:sz w:val="32"/>
          <w:szCs w:val="32"/>
          <w:shd w:val="clear" w:color="auto" w:fill="FFFFFF"/>
        </w:rPr>
        <w:t>活动</w:t>
      </w:r>
      <w:r>
        <w:rPr>
          <w:rFonts w:eastAsia="方正仿宋_GBK"/>
          <w:sz w:val="32"/>
          <w:szCs w:val="32"/>
        </w:rPr>
        <w:t>为契机，严抓党建工作落实，不断强化战斗堡垒作用</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年度</w:t>
      </w:r>
      <w:r>
        <w:rPr>
          <w:rFonts w:eastAsia="方正仿宋_GBK"/>
          <w:sz w:val="32"/>
          <w:szCs w:val="32"/>
        </w:rPr>
        <w:t>获市委市政府</w:t>
      </w:r>
      <w:r>
        <w:rPr>
          <w:rFonts w:eastAsia="方正仿宋_GBK" w:hint="eastAsia"/>
          <w:sz w:val="32"/>
          <w:szCs w:val="32"/>
        </w:rPr>
        <w:t>授予“南京市推动高质量发展，争当示范引领先进集体”称号</w:t>
      </w:r>
      <w:r>
        <w:rPr>
          <w:rFonts w:eastAsia="方正仿宋_GBK"/>
          <w:sz w:val="32"/>
          <w:szCs w:val="32"/>
        </w:rPr>
        <w:t>。</w:t>
      </w:r>
      <w:r>
        <w:rPr>
          <w:rFonts w:eastAsia="方正楷体_GBK"/>
          <w:sz w:val="32"/>
          <w:szCs w:val="32"/>
        </w:rPr>
        <w:t>一是</w:t>
      </w:r>
      <w:r>
        <w:rPr>
          <w:rFonts w:eastAsia="方正楷体_GBK" w:hint="eastAsia"/>
          <w:sz w:val="32"/>
          <w:szCs w:val="32"/>
        </w:rPr>
        <w:t>高举旗帜突出</w:t>
      </w:r>
      <w:r>
        <w:rPr>
          <w:rFonts w:eastAsia="方正楷体_GBK"/>
          <w:sz w:val="32"/>
          <w:szCs w:val="32"/>
        </w:rPr>
        <w:t>政治引领。</w:t>
      </w:r>
      <w:r>
        <w:rPr>
          <w:rFonts w:eastAsia="方正仿宋_GBK"/>
          <w:sz w:val="32"/>
          <w:szCs w:val="32"/>
        </w:rPr>
        <w:t>中心</w:t>
      </w:r>
      <w:r>
        <w:rPr>
          <w:rFonts w:eastAsia="方正仿宋_GBK" w:hint="eastAsia"/>
          <w:sz w:val="32"/>
          <w:szCs w:val="32"/>
        </w:rPr>
        <w:t>支部</w:t>
      </w:r>
      <w:r>
        <w:rPr>
          <w:rFonts w:eastAsia="方正仿宋_GBK"/>
          <w:sz w:val="32"/>
          <w:szCs w:val="32"/>
        </w:rPr>
        <w:t>团结带领广大党员干部高举旗帜引领方向，提高政治站位，</w:t>
      </w:r>
      <w:r>
        <w:rPr>
          <w:rFonts w:eastAsia="方正仿宋_GBK" w:hint="eastAsia"/>
          <w:sz w:val="32"/>
          <w:szCs w:val="32"/>
        </w:rPr>
        <w:t>深刻领悟“两个确立”的决定</w:t>
      </w:r>
      <w:r>
        <w:rPr>
          <w:rFonts w:eastAsia="方正仿宋_GBK" w:hint="eastAsia"/>
          <w:sz w:val="32"/>
          <w:szCs w:val="32"/>
        </w:rPr>
        <w:lastRenderedPageBreak/>
        <w:t>性意义</w:t>
      </w:r>
      <w:r>
        <w:rPr>
          <w:rFonts w:eastAsia="方正仿宋_GBK" w:hint="eastAsia"/>
          <w:sz w:val="32"/>
          <w:szCs w:val="32"/>
        </w:rPr>
        <w:t>,</w:t>
      </w:r>
      <w:r>
        <w:rPr>
          <w:rFonts w:eastAsia="方正仿宋_GBK" w:hint="eastAsia"/>
          <w:sz w:val="32"/>
          <w:szCs w:val="32"/>
        </w:rPr>
        <w:t>不断</w:t>
      </w:r>
      <w:r>
        <w:rPr>
          <w:rFonts w:eastAsia="方正仿宋_GBK"/>
          <w:sz w:val="32"/>
          <w:szCs w:val="32"/>
        </w:rPr>
        <w:t>增强</w:t>
      </w:r>
      <w:r>
        <w:rPr>
          <w:rFonts w:eastAsia="方正仿宋_GBK"/>
          <w:sz w:val="32"/>
          <w:szCs w:val="32"/>
        </w:rPr>
        <w:t>“</w:t>
      </w:r>
      <w:r>
        <w:rPr>
          <w:rFonts w:eastAsia="方正仿宋_GBK"/>
          <w:sz w:val="32"/>
          <w:szCs w:val="32"/>
        </w:rPr>
        <w:t>四个意识</w:t>
      </w:r>
      <w:r>
        <w:rPr>
          <w:rFonts w:eastAsia="方正仿宋_GBK"/>
          <w:sz w:val="32"/>
          <w:szCs w:val="32"/>
        </w:rPr>
        <w:t>”</w:t>
      </w:r>
      <w:r>
        <w:rPr>
          <w:rFonts w:eastAsia="方正仿宋_GBK"/>
          <w:sz w:val="32"/>
          <w:szCs w:val="32"/>
        </w:rPr>
        <w:t>、坚定</w:t>
      </w:r>
      <w:r>
        <w:rPr>
          <w:rFonts w:eastAsia="方正仿宋_GBK"/>
          <w:sz w:val="32"/>
          <w:szCs w:val="32"/>
        </w:rPr>
        <w:t>“</w:t>
      </w:r>
      <w:r>
        <w:rPr>
          <w:rFonts w:eastAsia="方正仿宋_GBK"/>
          <w:sz w:val="32"/>
          <w:szCs w:val="32"/>
        </w:rPr>
        <w:t>四个自信</w:t>
      </w:r>
      <w:r>
        <w:rPr>
          <w:rFonts w:eastAsia="方正仿宋_GBK"/>
          <w:sz w:val="32"/>
          <w:szCs w:val="32"/>
        </w:rPr>
        <w:t>”</w:t>
      </w:r>
      <w:r>
        <w:rPr>
          <w:rFonts w:eastAsia="方正仿宋_GBK"/>
          <w:sz w:val="32"/>
          <w:szCs w:val="32"/>
        </w:rPr>
        <w:t>、做到</w:t>
      </w:r>
      <w:r>
        <w:rPr>
          <w:rFonts w:eastAsia="方正仿宋_GBK"/>
          <w:sz w:val="32"/>
          <w:szCs w:val="32"/>
        </w:rPr>
        <w:t>“</w:t>
      </w:r>
      <w:r>
        <w:rPr>
          <w:rFonts w:eastAsia="方正仿宋_GBK"/>
          <w:sz w:val="32"/>
          <w:szCs w:val="32"/>
        </w:rPr>
        <w:t>两个维护</w:t>
      </w:r>
      <w:r>
        <w:rPr>
          <w:rFonts w:eastAsia="方正仿宋_GBK"/>
          <w:sz w:val="32"/>
          <w:szCs w:val="32"/>
        </w:rPr>
        <w:t>”</w:t>
      </w:r>
      <w:r>
        <w:rPr>
          <w:rFonts w:eastAsia="方正仿宋_GBK"/>
          <w:sz w:val="32"/>
          <w:szCs w:val="32"/>
        </w:rPr>
        <w:t>，切实做到对党忠诚、为党分忧、为党担责、为党尽责，自觉</w:t>
      </w:r>
      <w:r w:rsidR="00693E53">
        <w:rPr>
          <w:rFonts w:eastAsia="方正仿宋_GBK"/>
          <w:sz w:val="32"/>
          <w:szCs w:val="32"/>
        </w:rPr>
        <w:t>在思想上政治上行动上</w:t>
      </w:r>
      <w:r>
        <w:rPr>
          <w:rFonts w:eastAsia="方正仿宋_GBK"/>
          <w:sz w:val="32"/>
          <w:szCs w:val="32"/>
        </w:rPr>
        <w:t>同党中央保持高度一致</w:t>
      </w:r>
      <w:r>
        <w:rPr>
          <w:rFonts w:eastAsia="方正仿宋_GBK" w:hint="eastAsia"/>
          <w:sz w:val="32"/>
          <w:szCs w:val="32"/>
        </w:rPr>
        <w:t>，</w:t>
      </w:r>
      <w:r>
        <w:rPr>
          <w:rFonts w:eastAsia="方正仿宋_GBK"/>
          <w:sz w:val="32"/>
          <w:szCs w:val="32"/>
        </w:rPr>
        <w:t>牢记初心使命，忠诚履职尽责</w:t>
      </w:r>
      <w:r>
        <w:rPr>
          <w:rFonts w:eastAsia="方正仿宋_GBK" w:hint="eastAsia"/>
          <w:sz w:val="32"/>
          <w:szCs w:val="32"/>
        </w:rPr>
        <w:t>，</w:t>
      </w:r>
      <w:r>
        <w:rPr>
          <w:rFonts w:eastAsia="方正仿宋_GBK"/>
          <w:sz w:val="32"/>
          <w:szCs w:val="32"/>
        </w:rPr>
        <w:t>深入推进党建工作，统筹推进党建活动。</w:t>
      </w:r>
      <w:r>
        <w:rPr>
          <w:rFonts w:eastAsia="方正楷体_GBK" w:hint="eastAsia"/>
          <w:sz w:val="32"/>
          <w:szCs w:val="32"/>
        </w:rPr>
        <w:t>二是深入抓好</w:t>
      </w:r>
      <w:r>
        <w:rPr>
          <w:rFonts w:eastAsia="方正楷体_GBK"/>
          <w:sz w:val="32"/>
          <w:szCs w:val="32"/>
        </w:rPr>
        <w:t>理论学习</w:t>
      </w:r>
      <w:r>
        <w:rPr>
          <w:rFonts w:eastAsia="方正楷体_GBK" w:hint="eastAsia"/>
          <w:sz w:val="32"/>
          <w:szCs w:val="32"/>
        </w:rPr>
        <w:t>。</w:t>
      </w:r>
      <w:r>
        <w:rPr>
          <w:rFonts w:eastAsia="方正仿宋_GBK" w:hint="eastAsia"/>
          <w:sz w:val="32"/>
          <w:szCs w:val="32"/>
        </w:rPr>
        <w:t>加强党的二十大和二十</w:t>
      </w:r>
      <w:r>
        <w:rPr>
          <w:rFonts w:ascii="方正仿宋_GBK" w:eastAsia="方正仿宋_GBK" w:hAnsi="方正仿宋_GBK" w:cs="方正仿宋_GBK" w:hint="eastAsia"/>
          <w:sz w:val="32"/>
          <w:szCs w:val="32"/>
        </w:rPr>
        <w:t>届二中、三中全会精神学习贯彻落实，</w:t>
      </w:r>
      <w:r>
        <w:rPr>
          <w:rFonts w:eastAsia="方正仿宋_GBK" w:hint="eastAsia"/>
          <w:color w:val="000000"/>
          <w:sz w:val="32"/>
          <w:szCs w:val="32"/>
          <w:shd w:val="clear" w:color="auto" w:fill="FFFFFF"/>
        </w:rPr>
        <w:t>切实推动学习教育成果制度化、常态化、长效化，</w:t>
      </w:r>
      <w:r>
        <w:rPr>
          <w:rFonts w:ascii="方正仿宋_GBK" w:eastAsia="方正仿宋_GBK" w:hAnsi="方正仿宋_GBK" w:cs="方正仿宋_GBK" w:hint="eastAsia"/>
          <w:sz w:val="32"/>
          <w:szCs w:val="32"/>
        </w:rPr>
        <w:t>扎实推进</w:t>
      </w:r>
      <w:r>
        <w:rPr>
          <w:rFonts w:ascii="方正仿宋_GBK" w:eastAsia="方正仿宋_GBK" w:hAnsi="方正仿宋_GBK" w:cs="方正仿宋_GBK"/>
          <w:sz w:val="32"/>
          <w:szCs w:val="32"/>
        </w:rPr>
        <w:t>党纪学习教育走深走实</w:t>
      </w:r>
      <w:r>
        <w:rPr>
          <w:rFonts w:ascii="方正仿宋_GBK" w:eastAsia="方正仿宋_GBK" w:hAnsi="方正仿宋_GBK" w:cs="方正仿宋_GBK" w:hint="eastAsia"/>
          <w:sz w:val="32"/>
          <w:szCs w:val="32"/>
        </w:rPr>
        <w:t>，组织全体党员系统学习《中国共产党纪律处分条例》等党纪党规</w:t>
      </w:r>
      <w:r>
        <w:rPr>
          <w:rFonts w:eastAsia="方正仿宋_GBK" w:hint="eastAsia"/>
          <w:color w:val="000000"/>
          <w:sz w:val="32"/>
          <w:szCs w:val="32"/>
          <w:shd w:val="clear" w:color="auto" w:fill="FFFFFF"/>
        </w:rPr>
        <w:t>。积极参加委处级干部学习贯彻党的二十届三中全会精神集中培训，</w:t>
      </w:r>
      <w:r>
        <w:rPr>
          <w:rFonts w:eastAsia="方正仿宋_GB2312" w:hint="eastAsia"/>
          <w:color w:val="000000"/>
          <w:kern w:val="0"/>
          <w:sz w:val="32"/>
          <w:szCs w:val="32"/>
        </w:rPr>
        <w:t>组织全体党员干部开展学习贯彻</w:t>
      </w:r>
      <w:r>
        <w:rPr>
          <w:rFonts w:eastAsia="方正仿宋_GBK" w:hint="eastAsia"/>
          <w:color w:val="000000"/>
          <w:sz w:val="32"/>
          <w:szCs w:val="32"/>
          <w:shd w:val="clear" w:color="auto" w:fill="FFFFFF"/>
        </w:rPr>
        <w:t>党的二十</w:t>
      </w:r>
      <w:r>
        <w:rPr>
          <w:rFonts w:eastAsia="方正仿宋_GBK" w:hint="eastAsia"/>
          <w:color w:val="000000"/>
          <w:sz w:val="32"/>
          <w:szCs w:val="32"/>
          <w:shd w:val="clear" w:color="auto" w:fill="FFFFFF"/>
        </w:rPr>
        <w:t>届三中全会精神</w:t>
      </w:r>
      <w:r>
        <w:rPr>
          <w:rFonts w:eastAsia="方正仿宋_GB2312" w:hint="eastAsia"/>
          <w:color w:val="000000"/>
          <w:kern w:val="0"/>
          <w:sz w:val="32"/>
          <w:szCs w:val="32"/>
        </w:rPr>
        <w:t>集中学习和交流研讨</w:t>
      </w:r>
      <w:r>
        <w:rPr>
          <w:rFonts w:ascii="方正仿宋_GBK" w:eastAsia="方正仿宋_GBK" w:hAnsi="方正仿宋_GBK" w:cs="方正仿宋_GBK" w:hint="eastAsia"/>
          <w:sz w:val="32"/>
          <w:szCs w:val="32"/>
        </w:rPr>
        <w:t>。</w:t>
      </w:r>
      <w:r>
        <w:rPr>
          <w:rFonts w:eastAsia="方正楷体_GBK" w:hint="eastAsia"/>
          <w:sz w:val="32"/>
          <w:szCs w:val="32"/>
        </w:rPr>
        <w:t>三是积极组织支部活动。</w:t>
      </w:r>
      <w:r>
        <w:rPr>
          <w:rFonts w:eastAsia="方正仿宋_GBK"/>
          <w:sz w:val="32"/>
          <w:szCs w:val="32"/>
        </w:rPr>
        <w:t>刚性落实</w:t>
      </w:r>
      <w:r>
        <w:rPr>
          <w:rFonts w:eastAsia="方正仿宋_GBK"/>
          <w:sz w:val="32"/>
          <w:szCs w:val="32"/>
        </w:rPr>
        <w:t>“</w:t>
      </w:r>
      <w:r>
        <w:rPr>
          <w:rFonts w:eastAsia="方正仿宋_GBK"/>
          <w:sz w:val="32"/>
          <w:szCs w:val="32"/>
        </w:rPr>
        <w:t>三会一课</w:t>
      </w:r>
      <w:r>
        <w:rPr>
          <w:rFonts w:eastAsia="方正仿宋_GBK"/>
          <w:sz w:val="32"/>
          <w:szCs w:val="32"/>
        </w:rPr>
        <w:t>”</w:t>
      </w:r>
      <w:r>
        <w:rPr>
          <w:rFonts w:eastAsia="方正仿宋_GBK"/>
          <w:sz w:val="32"/>
          <w:szCs w:val="32"/>
        </w:rPr>
        <w:t>制度，全年共开展</w:t>
      </w:r>
      <w:r>
        <w:rPr>
          <w:rFonts w:eastAsia="方正仿宋_GBK"/>
          <w:sz w:val="32"/>
          <w:szCs w:val="32"/>
        </w:rPr>
        <w:t>12</w:t>
      </w:r>
      <w:r>
        <w:rPr>
          <w:rFonts w:eastAsia="方正仿宋_GBK"/>
          <w:sz w:val="32"/>
          <w:szCs w:val="32"/>
        </w:rPr>
        <w:t>次支委会、</w:t>
      </w:r>
      <w:r>
        <w:rPr>
          <w:rFonts w:eastAsia="方正仿宋_GBK"/>
          <w:sz w:val="32"/>
          <w:szCs w:val="32"/>
        </w:rPr>
        <w:t>36</w:t>
      </w:r>
      <w:r>
        <w:rPr>
          <w:rFonts w:eastAsia="方正仿宋_GBK"/>
          <w:sz w:val="32"/>
          <w:szCs w:val="32"/>
        </w:rPr>
        <w:t>次党小组会议（</w:t>
      </w:r>
      <w:r>
        <w:rPr>
          <w:rFonts w:eastAsia="方正仿宋_GBK"/>
          <w:sz w:val="32"/>
          <w:szCs w:val="32"/>
        </w:rPr>
        <w:t>3</w:t>
      </w:r>
      <w:r>
        <w:rPr>
          <w:rFonts w:eastAsia="方正仿宋_GBK"/>
          <w:sz w:val="32"/>
          <w:szCs w:val="32"/>
        </w:rPr>
        <w:t>个党小组每月各一次）、</w:t>
      </w:r>
      <w:r>
        <w:rPr>
          <w:rFonts w:eastAsia="方正仿宋_GBK"/>
          <w:sz w:val="32"/>
          <w:szCs w:val="32"/>
        </w:rPr>
        <w:t>4</w:t>
      </w:r>
      <w:r>
        <w:rPr>
          <w:rFonts w:eastAsia="方正仿宋_GBK"/>
          <w:sz w:val="32"/>
          <w:szCs w:val="32"/>
        </w:rPr>
        <w:t>次党员大会、</w:t>
      </w:r>
      <w:r>
        <w:rPr>
          <w:rFonts w:eastAsia="方正仿宋_GBK"/>
          <w:sz w:val="32"/>
          <w:szCs w:val="32"/>
        </w:rPr>
        <w:t>4</w:t>
      </w:r>
      <w:r>
        <w:rPr>
          <w:rFonts w:eastAsia="方正仿宋_GBK"/>
          <w:sz w:val="32"/>
          <w:szCs w:val="32"/>
        </w:rPr>
        <w:t>次党课、</w:t>
      </w:r>
      <w:r>
        <w:rPr>
          <w:rFonts w:eastAsia="方正仿宋_GBK"/>
          <w:sz w:val="32"/>
          <w:szCs w:val="32"/>
        </w:rPr>
        <w:t>12</w:t>
      </w:r>
      <w:r>
        <w:rPr>
          <w:rFonts w:eastAsia="方正仿宋_GBK"/>
          <w:sz w:val="32"/>
          <w:szCs w:val="32"/>
        </w:rPr>
        <w:t>次主题党日活动，不断提高党员思想政治素质。严格贯彻</w:t>
      </w:r>
      <w:r>
        <w:rPr>
          <w:rFonts w:eastAsia="方正仿宋_GBK"/>
          <w:sz w:val="32"/>
          <w:szCs w:val="32"/>
        </w:rPr>
        <w:t>“</w:t>
      </w:r>
      <w:r>
        <w:rPr>
          <w:rFonts w:eastAsia="方正仿宋_GBK"/>
          <w:sz w:val="32"/>
          <w:szCs w:val="32"/>
        </w:rPr>
        <w:t>三重一大</w:t>
      </w:r>
      <w:r>
        <w:rPr>
          <w:rFonts w:eastAsia="方正仿宋_GBK"/>
          <w:sz w:val="32"/>
          <w:szCs w:val="32"/>
        </w:rPr>
        <w:t>”</w:t>
      </w:r>
      <w:r>
        <w:rPr>
          <w:rFonts w:eastAsia="方正仿宋_GBK"/>
          <w:sz w:val="32"/>
          <w:szCs w:val="32"/>
        </w:rPr>
        <w:t>事项集体决策制度，支委会集体研究预算</w:t>
      </w:r>
      <w:r>
        <w:rPr>
          <w:rFonts w:eastAsia="方正仿宋_GBK" w:hint="eastAsia"/>
          <w:sz w:val="32"/>
          <w:szCs w:val="32"/>
        </w:rPr>
        <w:t>安排、</w:t>
      </w:r>
      <w:r>
        <w:rPr>
          <w:rFonts w:eastAsia="方正仿宋_GBK"/>
          <w:sz w:val="32"/>
          <w:szCs w:val="32"/>
        </w:rPr>
        <w:t>重大资金使用和人事安排等事项。</w:t>
      </w:r>
      <w:r>
        <w:rPr>
          <w:rFonts w:eastAsia="方正仿宋_GB2312" w:hint="eastAsia"/>
          <w:color w:val="000000"/>
          <w:kern w:val="0"/>
          <w:sz w:val="32"/>
          <w:szCs w:val="32"/>
        </w:rPr>
        <w:t>组织开展党建活动，先后组织党员同志赴雨花台监察明镜馆、将军馆、宪法公园等场所参观学习，引导党员干部增强党性意识、提高党性修养。</w:t>
      </w:r>
      <w:r>
        <w:rPr>
          <w:rFonts w:eastAsia="方正楷体_GBK" w:hint="eastAsia"/>
          <w:sz w:val="32"/>
          <w:szCs w:val="32"/>
        </w:rPr>
        <w:t>四是</w:t>
      </w:r>
      <w:r>
        <w:rPr>
          <w:rFonts w:eastAsia="方正楷体_GBK"/>
          <w:sz w:val="32"/>
          <w:szCs w:val="32"/>
        </w:rPr>
        <w:t>注重强化意识形态</w:t>
      </w:r>
      <w:r>
        <w:rPr>
          <w:rFonts w:eastAsia="方正楷体_GBK" w:hint="eastAsia"/>
          <w:sz w:val="32"/>
          <w:szCs w:val="32"/>
        </w:rPr>
        <w:t>。</w:t>
      </w:r>
      <w:r>
        <w:rPr>
          <w:rFonts w:eastAsia="方正仿宋_GBK" w:hint="eastAsia"/>
          <w:spacing w:val="10"/>
          <w:sz w:val="32"/>
          <w:szCs w:val="32"/>
        </w:rPr>
        <w:t>支部把意识形态工作纳入党建工作责任制，强化“同部署、同</w:t>
      </w:r>
      <w:r>
        <w:rPr>
          <w:rFonts w:eastAsia="方正仿宋_GBK" w:hint="eastAsia"/>
          <w:spacing w:val="10"/>
          <w:sz w:val="32"/>
          <w:szCs w:val="32"/>
        </w:rPr>
        <w:t>落实、同检查、同考核”的“四</w:t>
      </w:r>
      <w:r>
        <w:rPr>
          <w:rFonts w:eastAsia="方正仿宋_GBK"/>
          <w:spacing w:val="10"/>
          <w:sz w:val="32"/>
          <w:szCs w:val="32"/>
        </w:rPr>
        <w:t>同</w:t>
      </w:r>
      <w:r>
        <w:rPr>
          <w:rFonts w:eastAsia="方正仿宋_GBK" w:hint="eastAsia"/>
          <w:spacing w:val="10"/>
          <w:sz w:val="32"/>
          <w:szCs w:val="32"/>
        </w:rPr>
        <w:t>”工作机制</w:t>
      </w:r>
      <w:r>
        <w:rPr>
          <w:rFonts w:eastAsia="方正仿宋_GBK"/>
          <w:spacing w:val="10"/>
          <w:sz w:val="32"/>
          <w:szCs w:val="32"/>
        </w:rPr>
        <w:t>，</w:t>
      </w:r>
      <w:r>
        <w:rPr>
          <w:rFonts w:eastAsia="方正仿宋_GBK" w:hint="eastAsia"/>
          <w:spacing w:val="10"/>
          <w:sz w:val="32"/>
          <w:szCs w:val="32"/>
        </w:rPr>
        <w:t>将</w:t>
      </w:r>
      <w:r>
        <w:rPr>
          <w:rFonts w:eastAsia="方正仿宋_GBK"/>
          <w:spacing w:val="10"/>
          <w:sz w:val="32"/>
          <w:szCs w:val="32"/>
        </w:rPr>
        <w:t>意识形态工作</w:t>
      </w:r>
      <w:r>
        <w:rPr>
          <w:rFonts w:eastAsia="方正仿宋_GBK" w:hint="eastAsia"/>
          <w:spacing w:val="10"/>
          <w:sz w:val="32"/>
          <w:szCs w:val="32"/>
        </w:rPr>
        <w:t>与</w:t>
      </w:r>
      <w:r>
        <w:rPr>
          <w:rFonts w:eastAsia="方正仿宋_GBK"/>
          <w:spacing w:val="10"/>
          <w:sz w:val="32"/>
          <w:szCs w:val="32"/>
        </w:rPr>
        <w:t>其他工作有机融合</w:t>
      </w:r>
      <w:r>
        <w:rPr>
          <w:rFonts w:eastAsia="方正仿宋_GBK" w:hint="eastAsia"/>
          <w:spacing w:val="10"/>
          <w:sz w:val="32"/>
          <w:szCs w:val="32"/>
        </w:rPr>
        <w:t>。</w:t>
      </w:r>
      <w:r>
        <w:rPr>
          <w:rFonts w:eastAsia="方正仿宋_GBK" w:hint="eastAsia"/>
          <w:sz w:val="32"/>
          <w:szCs w:val="32"/>
        </w:rPr>
        <w:t>建立健全</w:t>
      </w:r>
      <w:r>
        <w:rPr>
          <w:rFonts w:eastAsia="方正仿宋_GBK"/>
          <w:sz w:val="32"/>
          <w:szCs w:val="32"/>
        </w:rPr>
        <w:t>中心作风建设</w:t>
      </w:r>
      <w:r>
        <w:rPr>
          <w:rFonts w:eastAsia="方正仿宋_GBK" w:hint="eastAsia"/>
          <w:sz w:val="32"/>
          <w:szCs w:val="32"/>
        </w:rPr>
        <w:t>、</w:t>
      </w:r>
      <w:r>
        <w:rPr>
          <w:rFonts w:eastAsia="方正仿宋_GBK"/>
          <w:sz w:val="32"/>
          <w:szCs w:val="32"/>
        </w:rPr>
        <w:t>意识形态</w:t>
      </w:r>
      <w:r>
        <w:rPr>
          <w:rFonts w:eastAsia="方正仿宋_GBK" w:hint="eastAsia"/>
          <w:sz w:val="32"/>
          <w:szCs w:val="32"/>
        </w:rPr>
        <w:t>和</w:t>
      </w:r>
      <w:r>
        <w:rPr>
          <w:rFonts w:eastAsia="方正仿宋_GBK"/>
          <w:sz w:val="32"/>
          <w:szCs w:val="32"/>
        </w:rPr>
        <w:t>网络安全领导小组</w:t>
      </w:r>
      <w:r>
        <w:rPr>
          <w:rFonts w:eastAsia="方正仿宋_GBK" w:hint="eastAsia"/>
          <w:sz w:val="32"/>
          <w:szCs w:val="32"/>
        </w:rPr>
        <w:t>，</w:t>
      </w:r>
      <w:r>
        <w:rPr>
          <w:rFonts w:eastAsia="方正仿宋_GBK"/>
          <w:sz w:val="32"/>
          <w:szCs w:val="32"/>
        </w:rPr>
        <w:t>确保全员做到严守政治纪律和政治规矩、自觉维护网络宣传阵地，全过程不出现政治导向问题。</w:t>
      </w:r>
      <w:r>
        <w:rPr>
          <w:rFonts w:eastAsia="方正楷体_GBK" w:hint="eastAsia"/>
          <w:sz w:val="32"/>
          <w:szCs w:val="32"/>
        </w:rPr>
        <w:t>五是结合实际</w:t>
      </w:r>
      <w:r>
        <w:rPr>
          <w:rFonts w:eastAsia="方正楷体_GBK" w:hint="eastAsia"/>
          <w:sz w:val="32"/>
          <w:szCs w:val="32"/>
        </w:rPr>
        <w:lastRenderedPageBreak/>
        <w:t>加强</w:t>
      </w:r>
      <w:r>
        <w:rPr>
          <w:rFonts w:eastAsia="方正楷体_GBK"/>
          <w:sz w:val="32"/>
          <w:szCs w:val="32"/>
        </w:rPr>
        <w:t>廉政</w:t>
      </w:r>
      <w:r>
        <w:rPr>
          <w:rFonts w:eastAsia="方正楷体_GBK" w:hint="eastAsia"/>
          <w:sz w:val="32"/>
          <w:szCs w:val="32"/>
        </w:rPr>
        <w:t>建设。</w:t>
      </w:r>
      <w:r>
        <w:rPr>
          <w:rFonts w:eastAsia="方正仿宋_GBK"/>
          <w:sz w:val="32"/>
          <w:szCs w:val="32"/>
        </w:rPr>
        <w:t>按照党要管党、从严治党的要求，开展党风廉政专题学习</w:t>
      </w:r>
      <w:r>
        <w:rPr>
          <w:rFonts w:eastAsia="方正仿宋_GBK" w:hint="eastAsia"/>
          <w:sz w:val="32"/>
          <w:szCs w:val="32"/>
        </w:rPr>
        <w:t>，及时做好廉政提醒。</w:t>
      </w:r>
      <w:r>
        <w:rPr>
          <w:rFonts w:ascii="方正仿宋_GBK" w:eastAsia="方正仿宋_GBK" w:hAnsi="方正仿宋_GBK" w:cs="方正仿宋_GBK" w:hint="eastAsia"/>
          <w:sz w:val="32"/>
          <w:szCs w:val="32"/>
        </w:rPr>
        <w:t>组织开展“学条例、明底线、强自觉”专题活动，通过专家解读、交流研讨、观看警示教育片、现场教育等方式，让各位党员从自身出发，持续自查自纠。</w:t>
      </w:r>
      <w:r>
        <w:rPr>
          <w:rFonts w:eastAsia="方正仿宋_GBK"/>
          <w:sz w:val="32"/>
          <w:szCs w:val="32"/>
        </w:rPr>
        <w:t>结合中心课题研究、管理工作特点，突出抓好重点领域风险防控，细致排查风险点、确定风险等级，有针对性地制定防控措施，有力保障各项</w:t>
      </w:r>
      <w:r>
        <w:rPr>
          <w:rFonts w:eastAsia="方正仿宋_GBK" w:hint="eastAsia"/>
          <w:sz w:val="32"/>
          <w:szCs w:val="32"/>
        </w:rPr>
        <w:t>任务的</w:t>
      </w:r>
      <w:r>
        <w:rPr>
          <w:rFonts w:eastAsia="方正仿宋_GBK"/>
          <w:sz w:val="32"/>
          <w:szCs w:val="32"/>
        </w:rPr>
        <w:t>稳步推进。</w:t>
      </w:r>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（二）</w:t>
      </w:r>
      <w:r>
        <w:rPr>
          <w:rFonts w:eastAsia="方正楷体_GBK" w:hint="eastAsia"/>
          <w:b/>
          <w:bCs/>
          <w:sz w:val="32"/>
          <w:szCs w:val="32"/>
        </w:rPr>
        <w:t>聚焦</w:t>
      </w:r>
      <w:r>
        <w:rPr>
          <w:rFonts w:eastAsia="方正楷体_GBK"/>
          <w:b/>
          <w:bCs/>
          <w:sz w:val="32"/>
          <w:szCs w:val="32"/>
        </w:rPr>
        <w:t>课题管理，</w:t>
      </w:r>
      <w:r>
        <w:rPr>
          <w:rFonts w:eastAsia="方正楷体_GBK" w:hint="eastAsia"/>
          <w:b/>
          <w:bCs/>
          <w:sz w:val="32"/>
          <w:szCs w:val="32"/>
        </w:rPr>
        <w:t>坚定不移</w:t>
      </w:r>
      <w:r>
        <w:rPr>
          <w:rFonts w:eastAsia="方正楷体_GBK"/>
          <w:b/>
          <w:bCs/>
          <w:sz w:val="32"/>
          <w:szCs w:val="32"/>
        </w:rPr>
        <w:t>提升研究水平</w:t>
      </w:r>
    </w:p>
    <w:p w:rsidR="00546122" w:rsidRDefault="00FA1383">
      <w:pPr>
        <w:spacing w:line="560" w:lineRule="exact"/>
        <w:ind w:firstLine="640"/>
        <w:rPr>
          <w:rFonts w:eastAsia="方正仿宋_GBK"/>
          <w:sz w:val="32"/>
          <w:szCs w:val="32"/>
        </w:rPr>
      </w:pPr>
      <w:r>
        <w:rPr>
          <w:rFonts w:eastAsia="方正仿宋_GBK"/>
          <w:sz w:val="32"/>
          <w:szCs w:val="32"/>
        </w:rPr>
        <w:t>为进一步提升服务全市重大战略、重大改革、重大政策的综合能力，中心</w:t>
      </w:r>
      <w:r>
        <w:rPr>
          <w:rFonts w:eastAsia="方正仿宋_GBK" w:hint="eastAsia"/>
          <w:sz w:val="32"/>
          <w:szCs w:val="32"/>
        </w:rPr>
        <w:t>通过对全市全局性、综合性、战略性、长期性问题和对社会发展动态跟踪与前瞻性研究，认真</w:t>
      </w:r>
      <w:r>
        <w:rPr>
          <w:rFonts w:eastAsia="方正仿宋_GBK"/>
          <w:sz w:val="32"/>
          <w:szCs w:val="32"/>
        </w:rPr>
        <w:t>谋划课题选题，</w:t>
      </w:r>
      <w:r>
        <w:rPr>
          <w:rFonts w:eastAsia="方正仿宋_GBK" w:hint="eastAsia"/>
          <w:sz w:val="32"/>
          <w:szCs w:val="32"/>
        </w:rPr>
        <w:t>不断加强</w:t>
      </w:r>
      <w:r>
        <w:rPr>
          <w:rFonts w:eastAsia="方正仿宋_GBK"/>
          <w:sz w:val="32"/>
          <w:szCs w:val="32"/>
        </w:rPr>
        <w:t>课题管理，深化</w:t>
      </w:r>
      <w:r>
        <w:rPr>
          <w:rFonts w:eastAsia="方正仿宋_GBK" w:hint="eastAsia"/>
          <w:sz w:val="32"/>
          <w:szCs w:val="32"/>
        </w:rPr>
        <w:t>开展</w:t>
      </w:r>
      <w:r>
        <w:rPr>
          <w:rFonts w:eastAsia="方正仿宋_GBK"/>
          <w:sz w:val="32"/>
          <w:szCs w:val="32"/>
        </w:rPr>
        <w:t>课题研究，注重</w:t>
      </w:r>
      <w:r>
        <w:rPr>
          <w:rFonts w:eastAsia="方正仿宋_GBK" w:hint="eastAsia"/>
          <w:sz w:val="32"/>
          <w:szCs w:val="32"/>
        </w:rPr>
        <w:t>推进</w:t>
      </w:r>
      <w:r>
        <w:rPr>
          <w:rFonts w:eastAsia="方正仿宋_GBK"/>
          <w:sz w:val="32"/>
          <w:szCs w:val="32"/>
        </w:rPr>
        <w:t>成果转化。</w:t>
      </w:r>
      <w:r>
        <w:rPr>
          <w:rFonts w:eastAsia="方正楷体_GBK"/>
          <w:sz w:val="32"/>
          <w:szCs w:val="32"/>
        </w:rPr>
        <w:t>一是持续强化年度课题管理。</w:t>
      </w:r>
      <w:r>
        <w:rPr>
          <w:rFonts w:eastAsia="方正仿宋_GBK" w:hint="eastAsia"/>
          <w:sz w:val="32"/>
          <w:szCs w:val="32"/>
        </w:rPr>
        <w:t>2024</w:t>
      </w:r>
      <w:r>
        <w:rPr>
          <w:rFonts w:eastAsia="方正仿宋_GBK" w:hint="eastAsia"/>
          <w:sz w:val="32"/>
          <w:szCs w:val="32"/>
        </w:rPr>
        <w:t>年</w:t>
      </w:r>
      <w:r>
        <w:rPr>
          <w:rFonts w:eastAsia="方正仿宋_GBK"/>
          <w:sz w:val="32"/>
          <w:szCs w:val="32"/>
        </w:rPr>
        <w:t>中心承担了各类调研课题</w:t>
      </w:r>
      <w:r>
        <w:rPr>
          <w:rFonts w:eastAsia="方正仿宋_GBK"/>
          <w:sz w:val="32"/>
          <w:szCs w:val="32"/>
        </w:rPr>
        <w:t>28</w:t>
      </w:r>
      <w:r>
        <w:rPr>
          <w:rFonts w:eastAsia="方正仿宋_GBK"/>
          <w:sz w:val="32"/>
          <w:szCs w:val="32"/>
        </w:rPr>
        <w:t>项。课题立项后，中心全过程嵌入式参与调研课题管理，以</w:t>
      </w:r>
      <w:r>
        <w:rPr>
          <w:rFonts w:eastAsia="方正仿宋_GBK"/>
          <w:sz w:val="32"/>
          <w:szCs w:val="32"/>
        </w:rPr>
        <w:t>《南京市宏观经济研究中心课题管理办法》为全过程质量控制体系，明确课题成果质量管理机制，制定开题、专家咨询、中期评审、结题评审等环节的规范化操作流程。</w:t>
      </w:r>
      <w:r>
        <w:rPr>
          <w:rFonts w:eastAsia="方正楷体_GBK"/>
          <w:sz w:val="32"/>
          <w:szCs w:val="32"/>
        </w:rPr>
        <w:t>二是注重开展各类课题研究。</w:t>
      </w:r>
      <w:r>
        <w:rPr>
          <w:rFonts w:eastAsia="方正仿宋_GBK"/>
          <w:sz w:val="32"/>
          <w:szCs w:val="32"/>
        </w:rPr>
        <w:t>中心</w:t>
      </w:r>
      <w:r>
        <w:rPr>
          <w:rFonts w:eastAsia="方正仿宋_GBK" w:hint="eastAsia"/>
          <w:sz w:val="32"/>
          <w:szCs w:val="32"/>
        </w:rPr>
        <w:t>参与市发改委重点课题</w:t>
      </w:r>
      <w:r>
        <w:rPr>
          <w:rFonts w:eastAsia="方正仿宋_GBK" w:hint="eastAsia"/>
          <w:sz w:val="32"/>
          <w:szCs w:val="32"/>
        </w:rPr>
        <w:t>7</w:t>
      </w:r>
      <w:r>
        <w:rPr>
          <w:rFonts w:eastAsia="方正仿宋_GBK" w:hint="eastAsia"/>
          <w:sz w:val="32"/>
          <w:szCs w:val="32"/>
        </w:rPr>
        <w:t>项、市发改委常规课题</w:t>
      </w:r>
      <w:r>
        <w:rPr>
          <w:rFonts w:eastAsia="方正仿宋_GBK" w:hint="eastAsia"/>
          <w:sz w:val="32"/>
          <w:szCs w:val="32"/>
        </w:rPr>
        <w:t>10</w:t>
      </w:r>
      <w:r>
        <w:rPr>
          <w:rFonts w:eastAsia="方正仿宋_GBK" w:hint="eastAsia"/>
          <w:sz w:val="32"/>
          <w:szCs w:val="32"/>
        </w:rPr>
        <w:t>项，中心自主研究</w:t>
      </w:r>
      <w:r>
        <w:rPr>
          <w:rFonts w:eastAsia="方正仿宋_GBK" w:hint="eastAsia"/>
          <w:sz w:val="32"/>
          <w:szCs w:val="32"/>
        </w:rPr>
        <w:t>10</w:t>
      </w:r>
      <w:r>
        <w:rPr>
          <w:rFonts w:eastAsia="方正仿宋_GBK" w:hint="eastAsia"/>
          <w:sz w:val="32"/>
          <w:szCs w:val="32"/>
        </w:rPr>
        <w:t>项，市社科基金重点课题项目</w:t>
      </w:r>
      <w:r>
        <w:rPr>
          <w:rFonts w:eastAsia="方正仿宋_GBK" w:hint="eastAsia"/>
          <w:sz w:val="32"/>
          <w:szCs w:val="32"/>
        </w:rPr>
        <w:t>1</w:t>
      </w:r>
      <w:r>
        <w:rPr>
          <w:rFonts w:eastAsia="方正仿宋_GBK" w:hint="eastAsia"/>
          <w:sz w:val="32"/>
          <w:szCs w:val="32"/>
        </w:rPr>
        <w:t>项</w:t>
      </w:r>
      <w:r>
        <w:rPr>
          <w:rFonts w:eastAsia="方正仿宋_GBK"/>
          <w:sz w:val="32"/>
          <w:szCs w:val="32"/>
        </w:rPr>
        <w:t>。</w:t>
      </w:r>
      <w:r>
        <w:rPr>
          <w:rFonts w:eastAsia="方正仿宋_GBK" w:hint="eastAsia"/>
          <w:sz w:val="32"/>
          <w:szCs w:val="32"/>
        </w:rPr>
        <w:t>针对重点课题、常规课题、自主课题和外部课题等不同类型课题的特点和工作要求，结合不同领域课题的业务需求，在委相关处室共</w:t>
      </w:r>
      <w:r>
        <w:rPr>
          <w:rFonts w:eastAsia="方正仿宋_GBK"/>
          <w:sz w:val="32"/>
          <w:szCs w:val="32"/>
        </w:rPr>
        <w:t>同配合下，积极开展课题研究，深化交流互动，主动献计献策，严格按要求推进研究工作，如期完成所有调研课题的研究任务</w:t>
      </w:r>
      <w:r>
        <w:rPr>
          <w:rFonts w:eastAsia="方正仿宋_GBK" w:hint="eastAsia"/>
          <w:sz w:val="32"/>
          <w:szCs w:val="32"/>
        </w:rPr>
        <w:t>，</w:t>
      </w:r>
      <w:r>
        <w:rPr>
          <w:rFonts w:eastAsia="方正仿宋_GBK"/>
          <w:sz w:val="32"/>
          <w:szCs w:val="32"/>
        </w:rPr>
        <w:t>相关</w:t>
      </w:r>
      <w:r>
        <w:rPr>
          <w:rFonts w:eastAsia="方正仿宋_GBK"/>
          <w:sz w:val="32"/>
          <w:szCs w:val="32"/>
        </w:rPr>
        <w:lastRenderedPageBreak/>
        <w:t>研究</w:t>
      </w:r>
      <w:r>
        <w:rPr>
          <w:rFonts w:eastAsia="方正仿宋_GBK"/>
          <w:sz w:val="32"/>
          <w:szCs w:val="32"/>
        </w:rPr>
        <w:t>成果共</w:t>
      </w:r>
      <w:r>
        <w:rPr>
          <w:rFonts w:eastAsia="方正仿宋_GBK" w:hint="eastAsia"/>
          <w:sz w:val="32"/>
          <w:szCs w:val="32"/>
        </w:rPr>
        <w:t>获</w:t>
      </w:r>
      <w:r>
        <w:rPr>
          <w:rFonts w:eastAsia="方正仿宋_GBK"/>
          <w:sz w:val="32"/>
          <w:szCs w:val="32"/>
        </w:rPr>
        <w:t>市级以上领导批示</w:t>
      </w:r>
      <w:r>
        <w:rPr>
          <w:rFonts w:eastAsia="方正仿宋_GBK" w:hint="eastAsia"/>
          <w:sz w:val="32"/>
          <w:szCs w:val="32"/>
        </w:rPr>
        <w:t>7</w:t>
      </w:r>
      <w:r>
        <w:rPr>
          <w:rFonts w:eastAsia="方正仿宋_GBK" w:hint="eastAsia"/>
          <w:sz w:val="32"/>
          <w:szCs w:val="32"/>
        </w:rPr>
        <w:t>次</w:t>
      </w:r>
      <w:r>
        <w:rPr>
          <w:rFonts w:eastAsia="方正仿宋_GBK"/>
          <w:sz w:val="32"/>
          <w:szCs w:val="32"/>
        </w:rPr>
        <w:t>。</w:t>
      </w:r>
      <w:r>
        <w:rPr>
          <w:rFonts w:eastAsia="方正仿宋_GBK" w:hint="eastAsia"/>
          <w:sz w:val="32"/>
          <w:szCs w:val="32"/>
        </w:rPr>
        <w:t>此外</w:t>
      </w:r>
      <w:r>
        <w:rPr>
          <w:rFonts w:eastAsia="方正仿宋_GBK"/>
          <w:sz w:val="32"/>
          <w:szCs w:val="32"/>
        </w:rPr>
        <w:t>，</w:t>
      </w:r>
      <w:r>
        <w:rPr>
          <w:rFonts w:eastAsia="方正仿宋_GBK" w:hint="eastAsia"/>
          <w:spacing w:val="10"/>
          <w:sz w:val="32"/>
          <w:szCs w:val="32"/>
        </w:rPr>
        <w:t>参与《南京“十五五”经济社会发展基本思路和主要目标》课题研究，为开展我市“十五五”规划研究提供支撑。</w:t>
      </w:r>
      <w:r>
        <w:rPr>
          <w:rFonts w:ascii="方正楷体_GBK" w:eastAsia="方正楷体_GBK" w:hAnsi="方正楷体_GBK" w:cs="方正楷体_GBK"/>
          <w:sz w:val="32"/>
          <w:szCs w:val="32"/>
        </w:rPr>
        <w:t>三是加强课题成果应用转化。</w:t>
      </w:r>
      <w:r>
        <w:rPr>
          <w:rFonts w:eastAsia="方正仿宋_GBK"/>
          <w:sz w:val="32"/>
          <w:szCs w:val="32"/>
        </w:rPr>
        <w:t>中心在开展课题研究同时，更加注重研究成果转化应用。</w:t>
      </w:r>
      <w:r>
        <w:rPr>
          <w:rFonts w:eastAsia="方正仿宋_GBK" w:hint="eastAsia"/>
          <w:sz w:val="32"/>
          <w:szCs w:val="32"/>
        </w:rPr>
        <w:t>聚焦新质生产力发展，形成了</w:t>
      </w:r>
      <w:r>
        <w:rPr>
          <w:rFonts w:eastAsia="方正仿宋_GBK"/>
          <w:sz w:val="32"/>
          <w:szCs w:val="32"/>
        </w:rPr>
        <w:t>《加快形成新质生产力：理论逻辑、主体架构与实现路径》《凝</w:t>
      </w:r>
      <w:r>
        <w:rPr>
          <w:rFonts w:eastAsia="方正仿宋_GBK"/>
          <w:sz w:val="32"/>
          <w:szCs w:val="32"/>
        </w:rPr>
        <w:t>“</w:t>
      </w:r>
      <w:r>
        <w:rPr>
          <w:rFonts w:eastAsia="方正仿宋_GBK"/>
          <w:sz w:val="32"/>
          <w:szCs w:val="32"/>
        </w:rPr>
        <w:t>新</w:t>
      </w:r>
      <w:r>
        <w:rPr>
          <w:rFonts w:eastAsia="方正仿宋_GBK"/>
          <w:sz w:val="32"/>
          <w:szCs w:val="32"/>
        </w:rPr>
        <w:t>”</w:t>
      </w:r>
      <w:r>
        <w:rPr>
          <w:rFonts w:eastAsia="方正仿宋_GBK"/>
          <w:sz w:val="32"/>
          <w:szCs w:val="32"/>
        </w:rPr>
        <w:t>聚力</w:t>
      </w:r>
      <w:r>
        <w:rPr>
          <w:rFonts w:eastAsia="方正仿宋_GBK"/>
          <w:sz w:val="32"/>
          <w:szCs w:val="32"/>
        </w:rPr>
        <w:t xml:space="preserve"> </w:t>
      </w:r>
      <w:r>
        <w:rPr>
          <w:rFonts w:eastAsia="方正仿宋_GBK"/>
          <w:sz w:val="32"/>
          <w:szCs w:val="32"/>
        </w:rPr>
        <w:t>提</w:t>
      </w:r>
      <w:r>
        <w:rPr>
          <w:rFonts w:eastAsia="方正仿宋_GBK"/>
          <w:sz w:val="32"/>
          <w:szCs w:val="32"/>
        </w:rPr>
        <w:t>“</w:t>
      </w:r>
      <w:r>
        <w:rPr>
          <w:rFonts w:eastAsia="方正仿宋_GBK"/>
          <w:sz w:val="32"/>
          <w:szCs w:val="32"/>
        </w:rPr>
        <w:t>质</w:t>
      </w:r>
      <w:r>
        <w:rPr>
          <w:rFonts w:eastAsia="方正仿宋_GBK"/>
          <w:sz w:val="32"/>
          <w:szCs w:val="32"/>
        </w:rPr>
        <w:t>”</w:t>
      </w:r>
      <w:r>
        <w:rPr>
          <w:rFonts w:eastAsia="方正仿宋_GBK"/>
          <w:sz w:val="32"/>
          <w:szCs w:val="32"/>
        </w:rPr>
        <w:t>增效</w:t>
      </w:r>
      <w:r>
        <w:rPr>
          <w:rFonts w:eastAsia="方正仿宋_GBK"/>
          <w:sz w:val="32"/>
          <w:szCs w:val="32"/>
        </w:rPr>
        <w:t xml:space="preserve"> </w:t>
      </w:r>
      <w:r>
        <w:rPr>
          <w:rFonts w:eastAsia="方正仿宋_GBK"/>
          <w:sz w:val="32"/>
          <w:szCs w:val="32"/>
        </w:rPr>
        <w:t>以</w:t>
      </w:r>
      <w:r>
        <w:rPr>
          <w:rFonts w:eastAsia="方正仿宋_GBK"/>
          <w:sz w:val="32"/>
          <w:szCs w:val="32"/>
        </w:rPr>
        <w:t>“</w:t>
      </w:r>
      <w:r>
        <w:rPr>
          <w:rFonts w:eastAsia="方正仿宋_GBK"/>
          <w:sz w:val="32"/>
          <w:szCs w:val="32"/>
        </w:rPr>
        <w:t>新质生产力</w:t>
      </w:r>
      <w:r>
        <w:rPr>
          <w:rFonts w:eastAsia="方正仿宋_GBK"/>
          <w:sz w:val="32"/>
          <w:szCs w:val="32"/>
        </w:rPr>
        <w:t>”</w:t>
      </w:r>
      <w:r>
        <w:rPr>
          <w:rFonts w:eastAsia="方正仿宋_GBK"/>
          <w:sz w:val="32"/>
          <w:szCs w:val="32"/>
        </w:rPr>
        <w:t>加快南京经济高质量发展》</w:t>
      </w:r>
      <w:r>
        <w:rPr>
          <w:rFonts w:eastAsia="方正仿宋_GBK" w:hint="eastAsia"/>
          <w:sz w:val="32"/>
          <w:szCs w:val="32"/>
        </w:rPr>
        <w:t>《加快形成新质生产力</w:t>
      </w:r>
      <w:r>
        <w:rPr>
          <w:rFonts w:eastAsia="方正仿宋_GBK" w:hint="eastAsia"/>
          <w:sz w:val="32"/>
          <w:szCs w:val="32"/>
        </w:rPr>
        <w:t xml:space="preserve"> </w:t>
      </w:r>
      <w:r>
        <w:rPr>
          <w:rFonts w:eastAsia="方正仿宋_GBK" w:hint="eastAsia"/>
          <w:sz w:val="32"/>
          <w:szCs w:val="32"/>
        </w:rPr>
        <w:t>增强经济内生发展动力》</w:t>
      </w:r>
      <w:r>
        <w:rPr>
          <w:rFonts w:eastAsia="方正仿宋_GBK"/>
          <w:sz w:val="32"/>
          <w:szCs w:val="32"/>
        </w:rPr>
        <w:t>等</w:t>
      </w:r>
      <w:r>
        <w:rPr>
          <w:rFonts w:eastAsia="方正仿宋_GBK" w:hint="eastAsia"/>
          <w:sz w:val="32"/>
          <w:szCs w:val="32"/>
        </w:rPr>
        <w:t>分析</w:t>
      </w:r>
      <w:r>
        <w:rPr>
          <w:rFonts w:eastAsia="方正仿宋_GBK"/>
          <w:sz w:val="32"/>
          <w:szCs w:val="32"/>
        </w:rPr>
        <w:t>文章</w:t>
      </w:r>
      <w:r>
        <w:rPr>
          <w:rFonts w:eastAsia="方正仿宋_GBK" w:hint="eastAsia"/>
          <w:sz w:val="32"/>
          <w:szCs w:val="32"/>
        </w:rPr>
        <w:t>。聚焦城市能级增强，开展了《促进南京人</w:t>
      </w:r>
      <w:r>
        <w:rPr>
          <w:rFonts w:eastAsia="方正仿宋_GBK"/>
          <w:sz w:val="32"/>
          <w:szCs w:val="32"/>
        </w:rPr>
        <w:t>口增长的相关政策研究</w:t>
      </w:r>
      <w:r>
        <w:rPr>
          <w:rFonts w:eastAsia="方正仿宋_GBK" w:hint="eastAsia"/>
          <w:sz w:val="32"/>
          <w:szCs w:val="32"/>
        </w:rPr>
        <w:t>》《南京市中心城</w:t>
      </w:r>
      <w:r>
        <w:rPr>
          <w:rFonts w:eastAsia="方正仿宋_GBK"/>
          <w:sz w:val="32"/>
          <w:szCs w:val="32"/>
        </w:rPr>
        <w:t>区动能再造路径研究</w:t>
      </w:r>
      <w:r>
        <w:rPr>
          <w:rFonts w:eastAsia="方正仿宋_GBK" w:hint="eastAsia"/>
          <w:sz w:val="32"/>
          <w:szCs w:val="32"/>
        </w:rPr>
        <w:t>》《南京都市圈高</w:t>
      </w:r>
      <w:r>
        <w:rPr>
          <w:rFonts w:eastAsia="方正仿宋_GBK"/>
          <w:sz w:val="32"/>
          <w:szCs w:val="32"/>
        </w:rPr>
        <w:t>质量协同发展研究</w:t>
      </w:r>
      <w:r>
        <w:rPr>
          <w:rFonts w:eastAsia="方正仿宋_GBK" w:hint="eastAsia"/>
          <w:sz w:val="32"/>
          <w:szCs w:val="32"/>
        </w:rPr>
        <w:t>》</w:t>
      </w:r>
      <w:r>
        <w:rPr>
          <w:rFonts w:eastAsia="方正仿宋_GBK"/>
          <w:sz w:val="32"/>
          <w:szCs w:val="32"/>
        </w:rPr>
        <w:t>《</w:t>
      </w:r>
      <w:r>
        <w:rPr>
          <w:rFonts w:eastAsia="方正仿宋_GBK" w:hint="eastAsia"/>
          <w:sz w:val="32"/>
          <w:szCs w:val="32"/>
        </w:rPr>
        <w:t>南京</w:t>
      </w:r>
      <w:r>
        <w:rPr>
          <w:rFonts w:eastAsia="方正仿宋_GBK"/>
          <w:sz w:val="32"/>
          <w:szCs w:val="32"/>
        </w:rPr>
        <w:t>开发区整合优化路径研究分析》</w:t>
      </w:r>
      <w:r>
        <w:rPr>
          <w:rFonts w:eastAsia="方正仿宋_GBK" w:hint="eastAsia"/>
          <w:sz w:val="32"/>
          <w:szCs w:val="32"/>
        </w:rPr>
        <w:t>等研究工作。聚焦产业转型升级，完成了《做大做优做强南京市独角兽瞪羚企业路径举措研究》《南京智能电网产业链现状分析及对策建议》《加快推</w:t>
      </w:r>
      <w:r>
        <w:rPr>
          <w:rFonts w:eastAsia="方正仿宋_GBK" w:hint="eastAsia"/>
          <w:spacing w:val="10"/>
          <w:sz w:val="32"/>
          <w:szCs w:val="32"/>
        </w:rPr>
        <w:t>动南京生物医药产业高质量发展研究》《新质生产力引领低空经济“高飞”》</w:t>
      </w:r>
      <w:r>
        <w:rPr>
          <w:rFonts w:eastAsia="方正仿宋_GBK"/>
          <w:sz w:val="32"/>
          <w:szCs w:val="32"/>
        </w:rPr>
        <w:t>《南京市集成电路产业分析报告</w:t>
      </w:r>
      <w:r>
        <w:rPr>
          <w:rFonts w:eastAsia="方正仿宋_GBK" w:hint="eastAsia"/>
          <w:sz w:val="32"/>
          <w:szCs w:val="32"/>
        </w:rPr>
        <w:t>》</w:t>
      </w:r>
      <w:r>
        <w:rPr>
          <w:rFonts w:eastAsia="方正仿宋_GBK" w:hint="eastAsia"/>
          <w:spacing w:val="10"/>
          <w:sz w:val="32"/>
          <w:szCs w:val="32"/>
        </w:rPr>
        <w:t>等研究成果。</w:t>
      </w:r>
      <w:r>
        <w:rPr>
          <w:rFonts w:ascii="方正楷体_GBK" w:eastAsia="方正楷体_GBK" w:hAnsi="方正楷体_GBK" w:cs="方正楷体_GBK"/>
          <w:sz w:val="32"/>
          <w:szCs w:val="32"/>
        </w:rPr>
        <w:t>四是积极参与奖项申报。</w:t>
      </w:r>
      <w:r>
        <w:rPr>
          <w:rFonts w:eastAsia="方正仿宋_GBK"/>
          <w:sz w:val="32"/>
          <w:szCs w:val="32"/>
        </w:rPr>
        <w:t>中心注重推动成熟研究成果参与各类奖项评比申报。其中，</w:t>
      </w:r>
      <w:bookmarkStart w:id="7" w:name="OLE_LINK2"/>
      <w:r>
        <w:rPr>
          <w:rFonts w:eastAsia="方正仿宋_GBK" w:hint="eastAsia"/>
          <w:sz w:val="32"/>
          <w:szCs w:val="32"/>
        </w:rPr>
        <w:t>《南京物流业制造业深度融合发展对策研究》获</w:t>
      </w:r>
      <w:r>
        <w:rPr>
          <w:rFonts w:eastAsia="方正仿宋_GBK" w:hint="eastAsia"/>
          <w:sz w:val="32"/>
          <w:szCs w:val="32"/>
        </w:rPr>
        <w:t>2024</w:t>
      </w:r>
      <w:r>
        <w:rPr>
          <w:rFonts w:eastAsia="方正仿宋_GBK" w:hint="eastAsia"/>
          <w:sz w:val="32"/>
          <w:szCs w:val="32"/>
        </w:rPr>
        <w:t>度中国物流与采购联合会科学技术进步三等奖，</w:t>
      </w:r>
      <w:r>
        <w:rPr>
          <w:rFonts w:eastAsia="方正仿宋_GBK"/>
          <w:sz w:val="32"/>
          <w:szCs w:val="32"/>
        </w:rPr>
        <w:t>《南京经济韧性的动态演化与提升路径研</w:t>
      </w:r>
      <w:r>
        <w:rPr>
          <w:rFonts w:eastAsia="方正仿宋_GBK"/>
          <w:sz w:val="32"/>
          <w:szCs w:val="32"/>
        </w:rPr>
        <w:t>究》获江苏省发展和改革委员会优秀研究成果三等奖</w:t>
      </w:r>
      <w:r>
        <w:rPr>
          <w:rFonts w:eastAsia="方正仿宋_GBK" w:hint="eastAsia"/>
          <w:sz w:val="32"/>
          <w:szCs w:val="32"/>
        </w:rPr>
        <w:t>。</w:t>
      </w:r>
      <w:bookmarkEnd w:id="7"/>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（三）</w:t>
      </w:r>
      <w:r>
        <w:rPr>
          <w:rFonts w:eastAsia="方正楷体_GBK" w:hint="eastAsia"/>
          <w:b/>
          <w:bCs/>
          <w:sz w:val="32"/>
          <w:szCs w:val="32"/>
        </w:rPr>
        <w:t>锚定</w:t>
      </w:r>
      <w:r>
        <w:rPr>
          <w:rFonts w:eastAsia="方正楷体_GBK"/>
          <w:b/>
          <w:bCs/>
          <w:sz w:val="32"/>
          <w:szCs w:val="32"/>
        </w:rPr>
        <w:t>经济目标，</w:t>
      </w:r>
      <w:r>
        <w:rPr>
          <w:rFonts w:eastAsia="方正楷体_GBK" w:hint="eastAsia"/>
          <w:b/>
          <w:bCs/>
          <w:sz w:val="32"/>
          <w:szCs w:val="32"/>
        </w:rPr>
        <w:t>科学有效开展</w:t>
      </w:r>
      <w:r>
        <w:rPr>
          <w:rFonts w:eastAsia="方正楷体_GBK"/>
          <w:b/>
          <w:bCs/>
          <w:sz w:val="32"/>
          <w:szCs w:val="32"/>
        </w:rPr>
        <w:t>监测</w:t>
      </w:r>
      <w:r>
        <w:rPr>
          <w:rFonts w:eastAsia="方正楷体_GBK" w:hint="eastAsia"/>
          <w:b/>
          <w:bCs/>
          <w:sz w:val="32"/>
          <w:szCs w:val="32"/>
        </w:rPr>
        <w:t>预测</w:t>
      </w:r>
    </w:p>
    <w:p w:rsidR="00546122" w:rsidRDefault="00FA1383">
      <w:pPr>
        <w:spacing w:line="560" w:lineRule="exact"/>
        <w:ind w:firstLine="64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以来，围绕做强经济监测预测工作的目标，</w:t>
      </w:r>
      <w:r>
        <w:rPr>
          <w:rFonts w:eastAsia="方正仿宋_GBK" w:hint="eastAsia"/>
          <w:sz w:val="32"/>
          <w:szCs w:val="32"/>
        </w:rPr>
        <w:t>锚定全市经济年度目标任务，巩固经济回升向好态势，不断提升</w:t>
      </w:r>
      <w:r>
        <w:rPr>
          <w:rFonts w:eastAsia="方正仿宋_GBK" w:hint="eastAsia"/>
          <w:sz w:val="32"/>
          <w:szCs w:val="32"/>
        </w:rPr>
        <w:lastRenderedPageBreak/>
        <w:t>全市经济形势分析工作的精准性、及时性和有效性。</w:t>
      </w:r>
      <w:r>
        <w:rPr>
          <w:rFonts w:ascii="方正楷体_GBK" w:eastAsia="方正楷体_GBK" w:hAnsi="方正楷体_GBK" w:cs="方正楷体_GBK" w:hint="eastAsia"/>
          <w:sz w:val="32"/>
          <w:szCs w:val="32"/>
        </w:rPr>
        <w:t>一是拓展高频实时数据，提高经济分析精准性。</w:t>
      </w:r>
      <w:r>
        <w:rPr>
          <w:rFonts w:eastAsia="方正仿宋_GBK" w:hint="eastAsia"/>
          <w:sz w:val="32"/>
          <w:szCs w:val="32"/>
        </w:rPr>
        <w:t>在</w:t>
      </w:r>
      <w:r>
        <w:rPr>
          <w:rFonts w:eastAsia="方正仿宋_GBK"/>
          <w:sz w:val="32"/>
          <w:szCs w:val="32"/>
        </w:rPr>
        <w:t>研究宏观经济运行先行感知指数的基础理论与技术原理</w:t>
      </w:r>
      <w:r>
        <w:rPr>
          <w:rFonts w:eastAsia="方正仿宋_GBK" w:hint="eastAsia"/>
          <w:sz w:val="32"/>
          <w:szCs w:val="32"/>
        </w:rPr>
        <w:t>基础上，</w:t>
      </w:r>
      <w:r>
        <w:rPr>
          <w:rFonts w:eastAsia="方正仿宋_GBK"/>
          <w:sz w:val="32"/>
          <w:szCs w:val="32"/>
        </w:rPr>
        <w:t>基于多源数据的先行感知指标筛选与检验，利用税务、电力、交通、</w:t>
      </w:r>
      <w:r>
        <w:rPr>
          <w:rFonts w:eastAsia="方正仿宋_GBK" w:hint="eastAsia"/>
          <w:sz w:val="32"/>
          <w:szCs w:val="32"/>
        </w:rPr>
        <w:t>房产、</w:t>
      </w:r>
      <w:r>
        <w:rPr>
          <w:rFonts w:eastAsia="方正仿宋_GBK"/>
          <w:sz w:val="32"/>
          <w:szCs w:val="32"/>
        </w:rPr>
        <w:t>微观主体等方面的多源高频实时数据，开展经济形势分析，实现对</w:t>
      </w:r>
      <w:r>
        <w:rPr>
          <w:rFonts w:eastAsia="方正仿宋_GBK" w:hint="eastAsia"/>
          <w:sz w:val="32"/>
          <w:szCs w:val="32"/>
        </w:rPr>
        <w:t>全市</w:t>
      </w:r>
      <w:r>
        <w:rPr>
          <w:rFonts w:eastAsia="方正仿宋_GBK"/>
          <w:sz w:val="32"/>
          <w:szCs w:val="32"/>
        </w:rPr>
        <w:t>宏观经济运行态势或某些特定</w:t>
      </w:r>
      <w:r>
        <w:rPr>
          <w:rFonts w:eastAsia="方正仿宋_GBK" w:hint="eastAsia"/>
          <w:sz w:val="32"/>
          <w:szCs w:val="32"/>
        </w:rPr>
        <w:t>经济</w:t>
      </w:r>
      <w:r>
        <w:rPr>
          <w:rFonts w:eastAsia="方正仿宋_GBK"/>
          <w:sz w:val="32"/>
          <w:szCs w:val="32"/>
        </w:rPr>
        <w:t>领域的感知。</w:t>
      </w:r>
      <w:r>
        <w:rPr>
          <w:rFonts w:ascii="方正楷体_GBK" w:eastAsia="方正楷体_GBK" w:hAnsi="方正楷体_GBK" w:cs="方正楷体_GBK" w:hint="eastAsia"/>
          <w:sz w:val="32"/>
          <w:szCs w:val="32"/>
        </w:rPr>
        <w:t>二是缩短经济监测周期，提高经济分析及时性。</w:t>
      </w:r>
      <w:r>
        <w:rPr>
          <w:rFonts w:eastAsia="方正仿宋_GBK" w:hint="eastAsia"/>
          <w:sz w:val="32"/>
          <w:szCs w:val="32"/>
        </w:rPr>
        <w:t>面临复杂严峻的经济发展新形势，全时段分析工作的新要求，在开展国民经济月度监测和季度分析的基础上，积极组织开展全市经济运行周监测工作。全年完成</w:t>
      </w:r>
      <w:r>
        <w:rPr>
          <w:rFonts w:eastAsia="方正仿宋_GBK"/>
          <w:sz w:val="32"/>
          <w:szCs w:val="32"/>
        </w:rPr>
        <w:t>周监测</w:t>
      </w:r>
      <w:r>
        <w:rPr>
          <w:rFonts w:eastAsia="方正仿宋_GBK"/>
          <w:sz w:val="32"/>
          <w:szCs w:val="32"/>
        </w:rPr>
        <w:t>48</w:t>
      </w:r>
      <w:r>
        <w:rPr>
          <w:rFonts w:eastAsia="方正仿宋_GBK"/>
          <w:sz w:val="32"/>
          <w:szCs w:val="32"/>
        </w:rPr>
        <w:t>期</w:t>
      </w:r>
      <w:r>
        <w:rPr>
          <w:rFonts w:eastAsia="方正仿宋_GBK" w:hint="eastAsia"/>
          <w:sz w:val="32"/>
          <w:szCs w:val="32"/>
        </w:rPr>
        <w:t>，月监测报告</w:t>
      </w:r>
      <w:r>
        <w:rPr>
          <w:rFonts w:eastAsia="方正仿宋_GBK" w:hint="eastAsia"/>
          <w:sz w:val="32"/>
          <w:szCs w:val="32"/>
        </w:rPr>
        <w:t>12</w:t>
      </w:r>
      <w:r>
        <w:rPr>
          <w:rFonts w:eastAsia="方正仿宋_GBK" w:hint="eastAsia"/>
          <w:sz w:val="32"/>
          <w:szCs w:val="32"/>
        </w:rPr>
        <w:t>期，季度监测及中长期分析报告</w:t>
      </w:r>
      <w:r>
        <w:rPr>
          <w:rFonts w:eastAsia="方正仿宋_GBK" w:hint="eastAsia"/>
          <w:sz w:val="32"/>
          <w:szCs w:val="32"/>
        </w:rPr>
        <w:t>10</w:t>
      </w:r>
      <w:r>
        <w:rPr>
          <w:rFonts w:eastAsia="方正仿宋_GBK" w:hint="eastAsia"/>
          <w:sz w:val="32"/>
          <w:szCs w:val="32"/>
        </w:rPr>
        <w:t>期。</w:t>
      </w:r>
      <w:r>
        <w:rPr>
          <w:rFonts w:ascii="方正楷体_GBK" w:eastAsia="方正楷体_GBK" w:hAnsi="方正楷体_GBK" w:cs="方正楷体_GBK" w:hint="eastAsia"/>
          <w:sz w:val="32"/>
          <w:szCs w:val="32"/>
        </w:rPr>
        <w:t>三是丰富监测预测手段，提高经济分析有效性。</w:t>
      </w:r>
      <w:r>
        <w:rPr>
          <w:rFonts w:eastAsia="方正仿宋_GBK" w:hint="eastAsia"/>
          <w:sz w:val="32"/>
          <w:szCs w:val="32"/>
        </w:rPr>
        <w:t>通过构建全市宏观经济运行月度、季度和年度模型，为掌握全市经济运行趋势提供重要研判；通过全市</w:t>
      </w:r>
      <w:r>
        <w:rPr>
          <w:rFonts w:eastAsia="方正仿宋_GBK" w:hint="eastAsia"/>
          <w:sz w:val="32"/>
          <w:szCs w:val="32"/>
        </w:rPr>
        <w:t>450</w:t>
      </w:r>
      <w:r>
        <w:rPr>
          <w:rFonts w:eastAsia="方正仿宋_GBK" w:hint="eastAsia"/>
          <w:sz w:val="32"/>
          <w:szCs w:val="32"/>
        </w:rPr>
        <w:t>家重点企业问卷调查，及时了解全市企业发展面临的困难和问题，动态掌握全市各行业发展总体状况；通过组织召开专家座谈会和实际走访企业调</w:t>
      </w:r>
      <w:r>
        <w:rPr>
          <w:rFonts w:eastAsia="方正仿宋_GBK" w:hint="eastAsia"/>
          <w:sz w:val="32"/>
          <w:szCs w:val="32"/>
        </w:rPr>
        <w:t>研，精确把脉当前经济运行实际状况，实时感知经济运行遇到堵点和</w:t>
      </w:r>
      <w:r>
        <w:rPr>
          <w:rFonts w:eastAsia="方正仿宋_GBK"/>
          <w:sz w:val="32"/>
          <w:szCs w:val="32"/>
        </w:rPr>
        <w:t>痛点</w:t>
      </w:r>
      <w:r>
        <w:rPr>
          <w:rFonts w:eastAsia="方正仿宋_GBK" w:hint="eastAsia"/>
          <w:sz w:val="32"/>
          <w:szCs w:val="32"/>
        </w:rPr>
        <w:t>。</w:t>
      </w:r>
    </w:p>
    <w:p w:rsidR="00546122" w:rsidRDefault="00FA1383">
      <w:pPr>
        <w:spacing w:line="560" w:lineRule="exact"/>
        <w:ind w:firstLine="643"/>
        <w:outlineLvl w:val="1"/>
        <w:rPr>
          <w:rFonts w:eastAsia="方正楷体_GBK"/>
          <w:b/>
          <w:bCs/>
          <w:sz w:val="32"/>
          <w:szCs w:val="32"/>
        </w:rPr>
      </w:pPr>
      <w:r>
        <w:rPr>
          <w:rFonts w:eastAsia="方正楷体_GBK"/>
          <w:b/>
          <w:bCs/>
          <w:sz w:val="32"/>
          <w:szCs w:val="32"/>
        </w:rPr>
        <w:t>（</w:t>
      </w:r>
      <w:r>
        <w:rPr>
          <w:rFonts w:eastAsia="方正楷体_GBK" w:hint="eastAsia"/>
          <w:b/>
          <w:bCs/>
          <w:sz w:val="32"/>
          <w:szCs w:val="32"/>
        </w:rPr>
        <w:t>四</w:t>
      </w:r>
      <w:r>
        <w:rPr>
          <w:rFonts w:eastAsia="方正楷体_GBK"/>
          <w:b/>
          <w:bCs/>
          <w:sz w:val="32"/>
          <w:szCs w:val="32"/>
        </w:rPr>
        <w:t>）</w:t>
      </w:r>
      <w:r>
        <w:rPr>
          <w:rFonts w:eastAsia="方正楷体_GBK" w:hint="eastAsia"/>
          <w:b/>
          <w:bCs/>
          <w:sz w:val="32"/>
          <w:szCs w:val="32"/>
        </w:rPr>
        <w:t>聚力</w:t>
      </w:r>
      <w:r>
        <w:rPr>
          <w:rFonts w:eastAsia="方正楷体_GBK"/>
          <w:b/>
          <w:bCs/>
          <w:sz w:val="32"/>
          <w:szCs w:val="32"/>
        </w:rPr>
        <w:t>重点工作，</w:t>
      </w:r>
      <w:r>
        <w:rPr>
          <w:rFonts w:eastAsia="方正楷体_GBK" w:hint="eastAsia"/>
          <w:b/>
          <w:bCs/>
          <w:sz w:val="32"/>
          <w:szCs w:val="32"/>
        </w:rPr>
        <w:t>积极主动提供</w:t>
      </w:r>
      <w:r>
        <w:rPr>
          <w:rFonts w:eastAsia="方正楷体_GBK"/>
          <w:b/>
          <w:bCs/>
          <w:sz w:val="32"/>
          <w:szCs w:val="32"/>
        </w:rPr>
        <w:t>支撑服务</w:t>
      </w:r>
    </w:p>
    <w:p w:rsidR="00546122" w:rsidRDefault="00FA1383">
      <w:pPr>
        <w:spacing w:line="560" w:lineRule="exact"/>
        <w:ind w:firstLine="680"/>
        <w:rPr>
          <w:rFonts w:eastAsia="方正仿宋_GBK"/>
          <w:sz w:val="32"/>
          <w:szCs w:val="32"/>
        </w:rPr>
      </w:pPr>
      <w:r>
        <w:rPr>
          <w:rFonts w:eastAsia="方正仿宋_GBK"/>
          <w:spacing w:val="10"/>
          <w:sz w:val="32"/>
          <w:szCs w:val="32"/>
        </w:rPr>
        <w:t>中心</w:t>
      </w:r>
      <w:r>
        <w:rPr>
          <w:rFonts w:eastAsia="方正仿宋_GBK" w:hint="eastAsia"/>
          <w:sz w:val="32"/>
          <w:szCs w:val="32"/>
        </w:rPr>
        <w:t>紧密围绕全委重点业务需求，通过建立各部门与委内处室联系制度，聚焦业务对接、加强协同联动，常态化提升宏观中心对发改委综合服务支撑能力。</w:t>
      </w:r>
      <w:r>
        <w:rPr>
          <w:rFonts w:ascii="方正楷体_GBK" w:eastAsia="方正楷体_GBK" w:hAnsi="方正楷体_GBK" w:cs="方正楷体_GBK" w:hint="eastAsia"/>
          <w:sz w:val="32"/>
          <w:szCs w:val="32"/>
        </w:rPr>
        <w:t>一是参与重大政策方案制定。</w:t>
      </w:r>
      <w:r>
        <w:rPr>
          <w:rFonts w:eastAsia="方正仿宋_GBK" w:hint="eastAsia"/>
          <w:sz w:val="32"/>
          <w:szCs w:val="32"/>
        </w:rPr>
        <w:t>配合委综合处、高技术处、外经处等起草了</w:t>
      </w:r>
      <w:r>
        <w:rPr>
          <w:rFonts w:eastAsia="方正仿宋_GBK"/>
          <w:sz w:val="32"/>
          <w:szCs w:val="32"/>
        </w:rPr>
        <w:t>《南京市巩固增强经济回升向好态势若干政策措施》</w:t>
      </w:r>
      <w:r>
        <w:rPr>
          <w:rFonts w:eastAsia="方正仿宋_GBK" w:hint="eastAsia"/>
          <w:sz w:val="32"/>
          <w:szCs w:val="32"/>
        </w:rPr>
        <w:t>《</w:t>
      </w:r>
      <w:r>
        <w:rPr>
          <w:rFonts w:eastAsia="方正仿宋_GBK" w:hint="eastAsia"/>
          <w:sz w:val="32"/>
          <w:szCs w:val="32"/>
        </w:rPr>
        <w:t>2024</w:t>
      </w:r>
      <w:r>
        <w:rPr>
          <w:rFonts w:eastAsia="方正仿宋_GBK" w:hint="eastAsia"/>
          <w:sz w:val="32"/>
          <w:szCs w:val="32"/>
        </w:rPr>
        <w:t>年南</w:t>
      </w:r>
      <w:r>
        <w:rPr>
          <w:rFonts w:eastAsia="方正仿宋_GBK" w:hint="eastAsia"/>
          <w:sz w:val="32"/>
          <w:szCs w:val="32"/>
        </w:rPr>
        <w:lastRenderedPageBreak/>
        <w:t>京市经济社会发展情况和</w:t>
      </w:r>
      <w:r>
        <w:rPr>
          <w:rFonts w:eastAsia="方正仿宋_GBK" w:hint="eastAsia"/>
          <w:sz w:val="32"/>
          <w:szCs w:val="32"/>
        </w:rPr>
        <w:t>2025</w:t>
      </w:r>
      <w:r>
        <w:rPr>
          <w:rFonts w:eastAsia="方正仿宋_GBK" w:hint="eastAsia"/>
          <w:sz w:val="32"/>
          <w:szCs w:val="32"/>
        </w:rPr>
        <w:t>年经济工作思路建议》</w:t>
      </w:r>
      <w:r>
        <w:rPr>
          <w:rFonts w:eastAsia="方正仿宋_GBK"/>
          <w:sz w:val="32"/>
          <w:szCs w:val="32"/>
        </w:rPr>
        <w:t>《南京市进一步优化营商环境的若干政策措施》《南京市集成电路（含第三代半导体）产业工作专班</w:t>
      </w:r>
      <w:r>
        <w:rPr>
          <w:rFonts w:eastAsia="方正仿宋_GBK"/>
          <w:sz w:val="32"/>
          <w:szCs w:val="32"/>
        </w:rPr>
        <w:t>2024</w:t>
      </w:r>
      <w:r>
        <w:rPr>
          <w:rFonts w:eastAsia="方正仿宋_GBK"/>
          <w:sz w:val="32"/>
          <w:szCs w:val="32"/>
        </w:rPr>
        <w:t>年重点工作》</w:t>
      </w:r>
      <w:r>
        <w:rPr>
          <w:rFonts w:eastAsia="方正仿宋_GBK" w:hint="eastAsia"/>
          <w:sz w:val="32"/>
          <w:szCs w:val="32"/>
        </w:rPr>
        <w:t>等文件</w:t>
      </w:r>
      <w:r>
        <w:rPr>
          <w:rFonts w:eastAsia="方正仿宋_GBK" w:hint="eastAsia"/>
          <w:spacing w:val="10"/>
          <w:sz w:val="32"/>
          <w:szCs w:val="32"/>
        </w:rPr>
        <w:t>。</w:t>
      </w:r>
      <w:r>
        <w:rPr>
          <w:rFonts w:ascii="方正楷体_GBK" w:eastAsia="方正楷体_GBK" w:hAnsi="方正楷体_GBK" w:cs="方正楷体_GBK" w:hint="eastAsia"/>
          <w:sz w:val="32"/>
          <w:szCs w:val="32"/>
        </w:rPr>
        <w:t>二是协助做好高成长性企业培育。</w:t>
      </w:r>
      <w:r>
        <w:rPr>
          <w:rFonts w:eastAsia="方正仿宋_GBK" w:hint="eastAsia"/>
          <w:sz w:val="32"/>
          <w:szCs w:val="32"/>
        </w:rPr>
        <w:t>积极发挥好南京市独角兽瞪羚企业服务中心职能，承担好全市独角兽瞪羚企业培育工作。科学制定工作目标，参与制定全市独角兽瞪羚企业培育</w:t>
      </w:r>
      <w:r>
        <w:rPr>
          <w:rFonts w:eastAsia="方正仿宋_GBK" w:hint="eastAsia"/>
          <w:sz w:val="32"/>
          <w:szCs w:val="32"/>
        </w:rPr>
        <w:t>2024</w:t>
      </w:r>
      <w:r>
        <w:rPr>
          <w:rFonts w:eastAsia="方正仿宋_GBK" w:hint="eastAsia"/>
          <w:sz w:val="32"/>
          <w:szCs w:val="32"/>
        </w:rPr>
        <w:t>年度活动计划。积极搭建数据平台，开展独角兽和瞪羚企业运行监测和</w:t>
      </w:r>
      <w:r>
        <w:rPr>
          <w:rFonts w:eastAsia="方正仿宋_GBK"/>
          <w:sz w:val="32"/>
          <w:szCs w:val="32"/>
        </w:rPr>
        <w:t>研究</w:t>
      </w:r>
      <w:r>
        <w:rPr>
          <w:rFonts w:eastAsia="方正仿宋_GBK" w:hint="eastAsia"/>
          <w:sz w:val="32"/>
          <w:szCs w:val="32"/>
        </w:rPr>
        <w:t>。拓展企业服务维度，建立全市独角兽瞪羚企业微信群，积极组建南京市独角兽瞪羚企业专家服务团队，为企业提供法律、金融、人才等服务。全年围绕</w:t>
      </w:r>
      <w:r>
        <w:rPr>
          <w:rFonts w:eastAsia="方正仿宋_GBK" w:hint="eastAsia"/>
          <w:spacing w:val="10"/>
          <w:sz w:val="32"/>
          <w:szCs w:val="32"/>
        </w:rPr>
        <w:t>场景创新应用、</w:t>
      </w:r>
      <w:r>
        <w:rPr>
          <w:rFonts w:eastAsia="方正仿宋_GBK" w:hint="eastAsia"/>
          <w:sz w:val="32"/>
          <w:szCs w:val="32"/>
        </w:rPr>
        <w:t>投融资对接、品牌形</w:t>
      </w:r>
      <w:r>
        <w:rPr>
          <w:rFonts w:eastAsia="方正仿宋_GBK" w:hint="eastAsia"/>
          <w:sz w:val="32"/>
          <w:szCs w:val="32"/>
        </w:rPr>
        <w:t>象提升等组织</w:t>
      </w:r>
      <w:r>
        <w:rPr>
          <w:rFonts w:eastAsia="方正仿宋_GBK" w:hint="eastAsia"/>
          <w:sz w:val="32"/>
          <w:szCs w:val="32"/>
        </w:rPr>
        <w:t>30</w:t>
      </w:r>
      <w:r>
        <w:rPr>
          <w:rFonts w:eastAsia="方正仿宋_GBK" w:hint="eastAsia"/>
          <w:sz w:val="32"/>
          <w:szCs w:val="32"/>
        </w:rPr>
        <w:t>多场专项对接活动，帮助企业解决发展难题。</w:t>
      </w:r>
      <w:r>
        <w:rPr>
          <w:rFonts w:ascii="方正楷体_GBK" w:eastAsia="方正楷体_GBK" w:hAnsi="方正楷体_GBK" w:cs="方正楷体_GBK" w:hint="eastAsia"/>
          <w:sz w:val="32"/>
          <w:szCs w:val="32"/>
        </w:rPr>
        <w:t>三是全面提供重点业务服务。</w:t>
      </w:r>
      <w:r>
        <w:rPr>
          <w:rFonts w:eastAsia="方正仿宋_GBK" w:hint="eastAsia"/>
          <w:sz w:val="32"/>
          <w:szCs w:val="32"/>
        </w:rPr>
        <w:t>配合全委做好综合经济、发</w:t>
      </w:r>
      <w:r>
        <w:rPr>
          <w:rFonts w:eastAsia="方正仿宋_GBK"/>
          <w:sz w:val="32"/>
          <w:szCs w:val="32"/>
        </w:rPr>
        <w:t>展规划、区域发展、长江经济带、总部经济、枢纽经济、</w:t>
      </w:r>
      <w:r>
        <w:rPr>
          <w:rFonts w:eastAsia="方正仿宋_GBK" w:hint="eastAsia"/>
          <w:sz w:val="32"/>
          <w:szCs w:val="32"/>
        </w:rPr>
        <w:t>平台经济、</w:t>
      </w:r>
      <w:r>
        <w:rPr>
          <w:rFonts w:eastAsia="方正仿宋_GBK"/>
          <w:sz w:val="32"/>
          <w:szCs w:val="32"/>
        </w:rPr>
        <w:t>营商环境等相关重要工作。配好做好全委经济宣传专班工作，</w:t>
      </w:r>
      <w:r>
        <w:rPr>
          <w:rFonts w:eastAsia="方正仿宋_GBK" w:hint="eastAsia"/>
          <w:sz w:val="32"/>
          <w:szCs w:val="32"/>
        </w:rPr>
        <w:t>形成</w:t>
      </w:r>
      <w:r>
        <w:rPr>
          <w:rFonts w:eastAsia="方正仿宋_GBK" w:hint="eastAsia"/>
          <w:sz w:val="32"/>
          <w:szCs w:val="32"/>
        </w:rPr>
        <w:t>10</w:t>
      </w:r>
      <w:r>
        <w:rPr>
          <w:rFonts w:eastAsia="方正仿宋_GBK" w:hint="eastAsia"/>
          <w:sz w:val="32"/>
          <w:szCs w:val="32"/>
        </w:rPr>
        <w:t>期《市发改委经济宣传专班工作动态》，</w:t>
      </w:r>
      <w:r>
        <w:rPr>
          <w:rFonts w:eastAsia="方正仿宋_GBK"/>
          <w:sz w:val="32"/>
          <w:szCs w:val="32"/>
        </w:rPr>
        <w:t>唱好南京经济光明论。</w:t>
      </w:r>
      <w:r>
        <w:rPr>
          <w:rFonts w:eastAsia="方正仿宋_GBK" w:hint="eastAsia"/>
          <w:sz w:val="32"/>
          <w:szCs w:val="32"/>
        </w:rPr>
        <w:t>配合做好全市集成电路工作专班和</w:t>
      </w:r>
      <w:r>
        <w:rPr>
          <w:rFonts w:eastAsia="方正仿宋_GBK"/>
          <w:sz w:val="32"/>
          <w:szCs w:val="32"/>
        </w:rPr>
        <w:t>工程研究中心认定</w:t>
      </w:r>
      <w:r>
        <w:rPr>
          <w:rFonts w:eastAsia="方正仿宋_GBK" w:hint="eastAsia"/>
          <w:sz w:val="32"/>
          <w:szCs w:val="32"/>
        </w:rPr>
        <w:t>申报等</w:t>
      </w:r>
      <w:r>
        <w:rPr>
          <w:rFonts w:eastAsia="方正仿宋_GBK"/>
          <w:sz w:val="32"/>
          <w:szCs w:val="32"/>
        </w:rPr>
        <w:t>工作</w:t>
      </w:r>
      <w:r>
        <w:rPr>
          <w:rFonts w:eastAsia="方正仿宋_GBK" w:hint="eastAsia"/>
          <w:sz w:val="32"/>
          <w:szCs w:val="32"/>
        </w:rPr>
        <w:t>。负责</w:t>
      </w:r>
      <w:r>
        <w:rPr>
          <w:rFonts w:eastAsia="方正仿宋_GBK"/>
          <w:sz w:val="32"/>
          <w:szCs w:val="32"/>
        </w:rPr>
        <w:t>做好</w:t>
      </w:r>
      <w:r>
        <w:rPr>
          <w:rFonts w:eastAsia="方正仿宋_GBK"/>
          <w:sz w:val="32"/>
          <w:szCs w:val="32"/>
        </w:rPr>
        <w:t>“</w:t>
      </w:r>
      <w:r>
        <w:rPr>
          <w:rFonts w:eastAsia="方正仿宋_GBK"/>
          <w:sz w:val="32"/>
          <w:szCs w:val="32"/>
        </w:rPr>
        <w:t>南京市发改委专家管理信息系统</w:t>
      </w:r>
      <w:r>
        <w:rPr>
          <w:rFonts w:eastAsia="方正仿宋_GBK"/>
          <w:sz w:val="32"/>
          <w:szCs w:val="32"/>
        </w:rPr>
        <w:t>”</w:t>
      </w:r>
      <w:r>
        <w:rPr>
          <w:rFonts w:eastAsia="方正仿宋_GBK"/>
          <w:sz w:val="32"/>
          <w:szCs w:val="32"/>
        </w:rPr>
        <w:t>运维，</w:t>
      </w:r>
      <w:r>
        <w:rPr>
          <w:rFonts w:eastAsia="方正仿宋_GBK" w:hint="eastAsia"/>
          <w:sz w:val="32"/>
          <w:szCs w:val="32"/>
        </w:rPr>
        <w:t>为</w:t>
      </w:r>
      <w:r>
        <w:rPr>
          <w:rFonts w:eastAsia="方正仿宋_GBK"/>
          <w:sz w:val="32"/>
          <w:szCs w:val="32"/>
        </w:rPr>
        <w:t>全委评审活动的正常开展</w:t>
      </w:r>
      <w:r>
        <w:rPr>
          <w:rFonts w:eastAsia="方正仿宋_GBK" w:hint="eastAsia"/>
          <w:sz w:val="32"/>
          <w:szCs w:val="32"/>
        </w:rPr>
        <w:t>提供技术支撑</w:t>
      </w:r>
      <w:r>
        <w:rPr>
          <w:rFonts w:eastAsia="方正仿宋_GBK"/>
          <w:sz w:val="32"/>
          <w:szCs w:val="32"/>
        </w:rPr>
        <w:t>。</w:t>
      </w:r>
      <w:r>
        <w:rPr>
          <w:rFonts w:eastAsia="方正仿宋_GBK" w:hint="eastAsia"/>
          <w:sz w:val="32"/>
          <w:szCs w:val="32"/>
        </w:rPr>
        <w:t>配合</w:t>
      </w:r>
      <w:r>
        <w:rPr>
          <w:rFonts w:eastAsia="方正仿宋_GBK"/>
          <w:sz w:val="32"/>
          <w:szCs w:val="32"/>
        </w:rPr>
        <w:t>推进</w:t>
      </w:r>
      <w:r>
        <w:rPr>
          <w:rFonts w:eastAsia="方正仿宋_GBK"/>
          <w:sz w:val="32"/>
          <w:szCs w:val="32"/>
        </w:rPr>
        <w:t>“</w:t>
      </w:r>
      <w:r>
        <w:rPr>
          <w:rFonts w:eastAsia="方正仿宋_GBK" w:hint="eastAsia"/>
          <w:sz w:val="32"/>
          <w:szCs w:val="32"/>
        </w:rPr>
        <w:t>数智发改云</w:t>
      </w:r>
      <w:r>
        <w:rPr>
          <w:rFonts w:eastAsia="方正仿宋_GBK"/>
          <w:sz w:val="32"/>
          <w:szCs w:val="32"/>
        </w:rPr>
        <w:t>”</w:t>
      </w:r>
      <w:r>
        <w:rPr>
          <w:rFonts w:eastAsia="方正仿宋_GBK" w:hint="eastAsia"/>
          <w:sz w:val="32"/>
          <w:szCs w:val="32"/>
        </w:rPr>
        <w:t>平台</w:t>
      </w:r>
      <w:r>
        <w:rPr>
          <w:rFonts w:eastAsia="方正仿宋_GBK"/>
          <w:sz w:val="32"/>
          <w:szCs w:val="32"/>
        </w:rPr>
        <w:t>建设</w:t>
      </w:r>
      <w:r>
        <w:rPr>
          <w:rFonts w:eastAsia="方正仿宋_GBK" w:hint="eastAsia"/>
          <w:sz w:val="32"/>
          <w:szCs w:val="32"/>
        </w:rPr>
        <w:t>与</w:t>
      </w:r>
      <w:r>
        <w:rPr>
          <w:rFonts w:eastAsia="方正仿宋_GBK"/>
          <w:sz w:val="32"/>
          <w:szCs w:val="32"/>
        </w:rPr>
        <w:t>运维</w:t>
      </w:r>
      <w:r>
        <w:rPr>
          <w:rFonts w:eastAsia="方正仿宋_GBK" w:hint="eastAsia"/>
          <w:sz w:val="32"/>
          <w:szCs w:val="32"/>
        </w:rPr>
        <w:t>工作</w:t>
      </w:r>
      <w:r>
        <w:rPr>
          <w:rFonts w:eastAsia="方正仿宋_GBK"/>
          <w:sz w:val="32"/>
          <w:szCs w:val="32"/>
        </w:rPr>
        <w:t>。</w:t>
      </w:r>
    </w:p>
    <w:p w:rsidR="00546122" w:rsidRDefault="00FA1383">
      <w:pPr>
        <w:spacing w:line="560" w:lineRule="exact"/>
        <w:ind w:firstLine="643"/>
        <w:outlineLvl w:val="1"/>
        <w:rPr>
          <w:rFonts w:eastAsia="方正仿宋_GBK"/>
          <w:b/>
          <w:bCs/>
          <w:sz w:val="32"/>
          <w:szCs w:val="32"/>
        </w:rPr>
      </w:pPr>
      <w:r>
        <w:rPr>
          <w:rFonts w:eastAsia="方正楷体_GBK"/>
          <w:b/>
          <w:bCs/>
          <w:sz w:val="32"/>
          <w:szCs w:val="32"/>
        </w:rPr>
        <w:t>（</w:t>
      </w:r>
      <w:r>
        <w:rPr>
          <w:rFonts w:eastAsia="方正楷体_GBK" w:hint="eastAsia"/>
          <w:b/>
          <w:bCs/>
          <w:sz w:val="32"/>
          <w:szCs w:val="32"/>
        </w:rPr>
        <w:t>五</w:t>
      </w:r>
      <w:r>
        <w:rPr>
          <w:rFonts w:eastAsia="方正楷体_GBK"/>
          <w:b/>
          <w:bCs/>
          <w:sz w:val="32"/>
          <w:szCs w:val="32"/>
        </w:rPr>
        <w:t>）</w:t>
      </w:r>
      <w:r>
        <w:rPr>
          <w:rFonts w:eastAsia="方正楷体_GBK" w:hint="eastAsia"/>
          <w:b/>
          <w:bCs/>
          <w:sz w:val="32"/>
          <w:szCs w:val="32"/>
        </w:rPr>
        <w:t>展现决策影响，同向发力打造智库品牌</w:t>
      </w:r>
    </w:p>
    <w:p w:rsidR="00546122" w:rsidRDefault="00FA1383">
      <w:pPr>
        <w:spacing w:line="560" w:lineRule="exact"/>
        <w:ind w:firstLine="680"/>
        <w:rPr>
          <w:rFonts w:eastAsia="方正仿宋_GBK"/>
          <w:spacing w:val="10"/>
          <w:sz w:val="32"/>
          <w:szCs w:val="32"/>
        </w:rPr>
      </w:pPr>
      <w:r>
        <w:rPr>
          <w:rFonts w:eastAsia="方正仿宋_GBK"/>
          <w:spacing w:val="10"/>
          <w:sz w:val="32"/>
          <w:szCs w:val="32"/>
        </w:rPr>
        <w:t>中心</w:t>
      </w:r>
      <w:r>
        <w:rPr>
          <w:rFonts w:eastAsia="方正仿宋_GBK" w:hint="eastAsia"/>
          <w:spacing w:val="10"/>
          <w:sz w:val="32"/>
          <w:szCs w:val="32"/>
        </w:rPr>
        <w:t>准确把握新型智库发展方向，贯彻落实全市新型智库目标考核要求，扎实推进智库建设各项任务落实落细，在决策咨询影响力、舆论引导能见度和组织运行</w:t>
      </w:r>
      <w:r>
        <w:rPr>
          <w:rFonts w:eastAsia="方正仿宋_GBK" w:hint="eastAsia"/>
          <w:spacing w:val="10"/>
          <w:sz w:val="32"/>
          <w:szCs w:val="32"/>
        </w:rPr>
        <w:lastRenderedPageBreak/>
        <w:t>创新性等方面有进一步提升。</w:t>
      </w:r>
      <w:r>
        <w:rPr>
          <w:rFonts w:ascii="方正楷体_GBK" w:eastAsia="方正楷体_GBK" w:hAnsi="方正楷体_GBK" w:cs="方正楷体_GBK" w:hint="eastAsia"/>
          <w:sz w:val="32"/>
          <w:szCs w:val="32"/>
        </w:rPr>
        <w:t>一是在决策咨询影响力上，</w:t>
      </w:r>
      <w:r>
        <w:rPr>
          <w:rFonts w:eastAsia="方正仿宋_GBK" w:hint="eastAsia"/>
          <w:spacing w:val="10"/>
          <w:sz w:val="32"/>
          <w:szCs w:val="32"/>
        </w:rPr>
        <w:t>有</w:t>
      </w:r>
      <w:r>
        <w:rPr>
          <w:rFonts w:eastAsia="方正仿宋_GBK" w:hint="eastAsia"/>
          <w:spacing w:val="10"/>
          <w:sz w:val="32"/>
          <w:szCs w:val="32"/>
        </w:rPr>
        <w:t>20</w:t>
      </w:r>
      <w:r>
        <w:rPr>
          <w:rFonts w:eastAsia="方正仿宋_GBK" w:hint="eastAsia"/>
          <w:spacing w:val="10"/>
          <w:sz w:val="32"/>
          <w:szCs w:val="32"/>
        </w:rPr>
        <w:t>多篇决策咨询报告被市级以上内参所采用，其中部委级《经济要参》</w:t>
      </w:r>
      <w:r>
        <w:rPr>
          <w:rFonts w:eastAsia="方正仿宋_GBK" w:hint="eastAsia"/>
          <w:spacing w:val="10"/>
          <w:sz w:val="32"/>
          <w:szCs w:val="32"/>
        </w:rPr>
        <w:t>1</w:t>
      </w:r>
      <w:r>
        <w:rPr>
          <w:rFonts w:eastAsia="方正仿宋_GBK" w:hint="eastAsia"/>
          <w:spacing w:val="10"/>
          <w:sz w:val="32"/>
          <w:szCs w:val="32"/>
        </w:rPr>
        <w:t>篇；市级</w:t>
      </w:r>
      <w:r>
        <w:rPr>
          <w:rFonts w:eastAsia="方正仿宋_GBK"/>
          <w:spacing w:val="10"/>
          <w:sz w:val="32"/>
          <w:szCs w:val="32"/>
        </w:rPr>
        <w:t>《南京调研》</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《南京智库成果专报》</w:t>
      </w:r>
      <w:r>
        <w:rPr>
          <w:rFonts w:eastAsia="方正仿宋_GBK" w:hint="eastAsia"/>
          <w:spacing w:val="10"/>
          <w:sz w:val="32"/>
          <w:szCs w:val="32"/>
        </w:rPr>
        <w:t>4</w:t>
      </w:r>
      <w:r>
        <w:rPr>
          <w:rFonts w:eastAsia="方正仿宋_GBK" w:hint="eastAsia"/>
          <w:spacing w:val="10"/>
          <w:sz w:val="32"/>
          <w:szCs w:val="32"/>
        </w:rPr>
        <w:t>篇、</w:t>
      </w:r>
      <w:r>
        <w:rPr>
          <w:rFonts w:eastAsia="方正仿宋_GBK"/>
          <w:spacing w:val="10"/>
          <w:sz w:val="32"/>
          <w:szCs w:val="32"/>
        </w:rPr>
        <w:t>《建言》</w:t>
      </w:r>
      <w:r>
        <w:rPr>
          <w:rFonts w:eastAsia="方正仿宋_GBK" w:hint="eastAsia"/>
          <w:spacing w:val="10"/>
          <w:sz w:val="32"/>
          <w:szCs w:val="32"/>
        </w:rPr>
        <w:t>3</w:t>
      </w:r>
      <w:r>
        <w:rPr>
          <w:rFonts w:eastAsia="方正仿宋_GBK" w:hint="eastAsia"/>
          <w:spacing w:val="10"/>
          <w:sz w:val="32"/>
          <w:szCs w:val="32"/>
        </w:rPr>
        <w:t>篇、</w:t>
      </w:r>
      <w:r>
        <w:rPr>
          <w:rFonts w:eastAsia="方正仿宋_GBK"/>
          <w:spacing w:val="10"/>
          <w:sz w:val="32"/>
          <w:szCs w:val="32"/>
        </w:rPr>
        <w:t>《</w:t>
      </w:r>
      <w:r>
        <w:rPr>
          <w:rFonts w:eastAsia="方正仿宋_GBK" w:hint="eastAsia"/>
          <w:spacing w:val="10"/>
          <w:sz w:val="32"/>
          <w:szCs w:val="32"/>
        </w:rPr>
        <w:t>调研参考</w:t>
      </w:r>
      <w:r>
        <w:rPr>
          <w:rFonts w:eastAsia="方正仿宋_GBK"/>
          <w:spacing w:val="10"/>
          <w:sz w:val="32"/>
          <w:szCs w:val="32"/>
        </w:rPr>
        <w:t>》</w:t>
      </w:r>
      <w:r>
        <w:rPr>
          <w:rFonts w:eastAsia="方正仿宋_GBK" w:hint="eastAsia"/>
          <w:spacing w:val="10"/>
          <w:sz w:val="32"/>
          <w:szCs w:val="32"/>
        </w:rPr>
        <w:t>1</w:t>
      </w:r>
      <w:r>
        <w:rPr>
          <w:rFonts w:eastAsia="方正仿宋_GBK" w:hint="eastAsia"/>
          <w:spacing w:val="10"/>
          <w:sz w:val="32"/>
          <w:szCs w:val="32"/>
        </w:rPr>
        <w:t>篇。《南京独角兽如何“崭露头角”的思考》《南京市集成电路产业研究报告》和《南京市独角兽瞪羚企业运行情况专报》等报告获得市主要领导批示</w:t>
      </w:r>
      <w:r>
        <w:rPr>
          <w:rFonts w:eastAsia="方正仿宋_GBK"/>
          <w:spacing w:val="10"/>
          <w:sz w:val="32"/>
          <w:szCs w:val="32"/>
        </w:rPr>
        <w:t>。</w:t>
      </w:r>
      <w:r>
        <w:rPr>
          <w:rFonts w:eastAsia="方正仿宋_GBK" w:hint="eastAsia"/>
          <w:spacing w:val="10"/>
          <w:sz w:val="32"/>
          <w:szCs w:val="32"/>
        </w:rPr>
        <w:t>中心所主编的《宏观经济研究》《重点城市一周工作动态》《宏观经济数据专报》等内参，为全委领导和相关处室提供了重要信息参考。</w:t>
      </w:r>
      <w:r>
        <w:rPr>
          <w:rFonts w:ascii="方正楷体_GBK" w:eastAsia="方正楷体_GBK" w:hAnsi="方正楷体_GBK" w:cs="方正楷体_GBK" w:hint="eastAsia"/>
          <w:sz w:val="32"/>
          <w:szCs w:val="32"/>
        </w:rPr>
        <w:t>二是在舆论引导能见度上，</w:t>
      </w:r>
      <w:r>
        <w:rPr>
          <w:rFonts w:eastAsia="方正仿宋_GBK" w:hint="eastAsia"/>
          <w:spacing w:val="10"/>
          <w:sz w:val="32"/>
          <w:szCs w:val="32"/>
        </w:rPr>
        <w:t>积极组织</w:t>
      </w:r>
      <w:r>
        <w:rPr>
          <w:rFonts w:eastAsia="方正仿宋_GBK"/>
          <w:spacing w:val="10"/>
          <w:sz w:val="32"/>
          <w:szCs w:val="32"/>
        </w:rPr>
        <w:t>《如何理解城市首位度》和《</w:t>
      </w:r>
      <w:r>
        <w:rPr>
          <w:rFonts w:eastAsia="方正仿宋_GBK"/>
          <w:spacing w:val="10"/>
          <w:sz w:val="32"/>
          <w:szCs w:val="32"/>
        </w:rPr>
        <w:t>V</w:t>
      </w:r>
      <w:r>
        <w:rPr>
          <w:rFonts w:eastAsia="方正仿宋_GBK"/>
          <w:spacing w:val="10"/>
          <w:sz w:val="32"/>
          <w:szCs w:val="32"/>
        </w:rPr>
        <w:t>深度：南京，必须抓住这个机遇》</w:t>
      </w:r>
      <w:r>
        <w:rPr>
          <w:rFonts w:eastAsia="方正仿宋_GBK" w:hint="eastAsia"/>
          <w:spacing w:val="10"/>
          <w:sz w:val="32"/>
          <w:szCs w:val="32"/>
        </w:rPr>
        <w:t>两篇专稿，</w:t>
      </w:r>
      <w:r>
        <w:rPr>
          <w:rFonts w:eastAsia="方正仿宋_GBK"/>
          <w:spacing w:val="10"/>
          <w:sz w:val="32"/>
          <w:szCs w:val="32"/>
        </w:rPr>
        <w:t>在</w:t>
      </w:r>
      <w:r>
        <w:rPr>
          <w:rFonts w:eastAsia="方正仿宋_GBK"/>
          <w:spacing w:val="10"/>
          <w:sz w:val="32"/>
          <w:szCs w:val="32"/>
        </w:rPr>
        <w:t>“</w:t>
      </w:r>
      <w:r>
        <w:rPr>
          <w:rFonts w:eastAsia="方正仿宋_GBK"/>
          <w:spacing w:val="10"/>
          <w:sz w:val="32"/>
          <w:szCs w:val="32"/>
        </w:rPr>
        <w:t>南京发布</w:t>
      </w:r>
      <w:r>
        <w:rPr>
          <w:rFonts w:eastAsia="方正仿宋_GBK"/>
          <w:spacing w:val="10"/>
          <w:sz w:val="32"/>
          <w:szCs w:val="32"/>
        </w:rPr>
        <w:t>”</w:t>
      </w:r>
      <w:r>
        <w:rPr>
          <w:rFonts w:eastAsia="方正仿宋_GBK" w:hint="eastAsia"/>
          <w:spacing w:val="10"/>
          <w:sz w:val="32"/>
          <w:szCs w:val="32"/>
        </w:rPr>
        <w:t>上</w:t>
      </w:r>
      <w:r>
        <w:rPr>
          <w:rFonts w:eastAsia="方正仿宋_GBK"/>
          <w:spacing w:val="10"/>
          <w:sz w:val="32"/>
          <w:szCs w:val="32"/>
        </w:rPr>
        <w:t>发表</w:t>
      </w:r>
      <w:r>
        <w:rPr>
          <w:rFonts w:eastAsia="方正仿宋_GBK" w:hint="eastAsia"/>
          <w:spacing w:val="10"/>
          <w:sz w:val="32"/>
          <w:szCs w:val="32"/>
        </w:rPr>
        <w:t>，为南京城市形象宣传和人工智能发展进行正面引导</w:t>
      </w:r>
      <w:r>
        <w:rPr>
          <w:rFonts w:eastAsia="方正仿宋_GBK"/>
          <w:spacing w:val="10"/>
          <w:sz w:val="32"/>
          <w:szCs w:val="32"/>
        </w:rPr>
        <w:t>。</w:t>
      </w:r>
      <w:r>
        <w:rPr>
          <w:rFonts w:eastAsia="方正仿宋_GBK" w:hint="eastAsia"/>
          <w:spacing w:val="10"/>
          <w:sz w:val="32"/>
          <w:szCs w:val="32"/>
        </w:rPr>
        <w:t>踊跃在</w:t>
      </w:r>
      <w:r>
        <w:rPr>
          <w:rFonts w:eastAsia="方正仿宋_GBK"/>
          <w:spacing w:val="10"/>
          <w:sz w:val="32"/>
          <w:szCs w:val="32"/>
        </w:rPr>
        <w:t>《南京日报》</w:t>
      </w:r>
      <w:r>
        <w:rPr>
          <w:rFonts w:eastAsia="方正仿宋_GBK" w:hint="eastAsia"/>
          <w:spacing w:val="10"/>
          <w:sz w:val="32"/>
          <w:szCs w:val="32"/>
        </w:rPr>
        <w:t>《金陵瞭望》等党报党刊</w:t>
      </w:r>
      <w:r>
        <w:rPr>
          <w:rFonts w:eastAsia="方正仿宋_GBK"/>
          <w:spacing w:val="10"/>
          <w:sz w:val="32"/>
          <w:szCs w:val="32"/>
        </w:rPr>
        <w:t>等平台发声</w:t>
      </w:r>
      <w:r>
        <w:rPr>
          <w:rFonts w:eastAsia="方正仿宋_GBK" w:hint="eastAsia"/>
          <w:spacing w:val="10"/>
          <w:sz w:val="32"/>
          <w:szCs w:val="32"/>
        </w:rPr>
        <w:t>，全年有近</w:t>
      </w:r>
      <w:r>
        <w:rPr>
          <w:rFonts w:eastAsia="方正仿宋_GBK" w:hint="eastAsia"/>
          <w:spacing w:val="10"/>
          <w:sz w:val="32"/>
          <w:szCs w:val="32"/>
        </w:rPr>
        <w:t>20</w:t>
      </w:r>
      <w:r>
        <w:rPr>
          <w:rFonts w:eastAsia="方正仿宋_GBK" w:hint="eastAsia"/>
          <w:spacing w:val="10"/>
          <w:sz w:val="32"/>
          <w:szCs w:val="32"/>
        </w:rPr>
        <w:t>多篇文章、报导在媒体刊载，并在《南京日报》和委公众号开设“新质生产力之高成长企业”专栏，对全市高成长企业进行宣传报道。</w:t>
      </w:r>
      <w:r>
        <w:rPr>
          <w:rFonts w:ascii="方正楷体_GBK" w:eastAsia="方正楷体_GBK" w:hAnsi="方正楷体_GBK" w:cs="方正楷体_GBK" w:hint="eastAsia"/>
          <w:sz w:val="32"/>
          <w:szCs w:val="32"/>
        </w:rPr>
        <w:t>三是在组织运行创新性上，</w:t>
      </w:r>
      <w:r>
        <w:rPr>
          <w:rFonts w:eastAsia="方正仿宋_GBK" w:hint="eastAsia"/>
          <w:spacing w:val="10"/>
          <w:sz w:val="32"/>
          <w:szCs w:val="32"/>
        </w:rPr>
        <w:t>充分发挥全委专家库</w:t>
      </w:r>
      <w:r>
        <w:rPr>
          <w:rFonts w:eastAsia="方正仿宋_GBK" w:hint="eastAsia"/>
          <w:spacing w:val="10"/>
          <w:sz w:val="32"/>
          <w:szCs w:val="32"/>
        </w:rPr>
        <w:t>资源优势，积极搭建南京市宏观经济研究联盟平台，及时组织外部专家团队为我们课题研究和政策咨询活动提供服务。全年共有</w:t>
      </w:r>
      <w:r>
        <w:rPr>
          <w:rFonts w:eastAsia="方正仿宋_GBK" w:hint="eastAsia"/>
          <w:spacing w:val="10"/>
          <w:sz w:val="32"/>
          <w:szCs w:val="32"/>
        </w:rPr>
        <w:t>8</w:t>
      </w:r>
      <w:r>
        <w:rPr>
          <w:rFonts w:eastAsia="方正仿宋_GBK" w:hint="eastAsia"/>
          <w:spacing w:val="10"/>
          <w:sz w:val="32"/>
          <w:szCs w:val="32"/>
        </w:rPr>
        <w:t>项重点调研课题邀请外部团队参与研究，组织近</w:t>
      </w:r>
      <w:r>
        <w:rPr>
          <w:rFonts w:eastAsia="方正仿宋_GBK" w:hint="eastAsia"/>
          <w:spacing w:val="10"/>
          <w:sz w:val="32"/>
          <w:szCs w:val="32"/>
        </w:rPr>
        <w:t>30</w:t>
      </w:r>
      <w:r>
        <w:rPr>
          <w:rFonts w:eastAsia="方正仿宋_GBK" w:hint="eastAsia"/>
          <w:spacing w:val="10"/>
          <w:sz w:val="32"/>
          <w:szCs w:val="32"/>
        </w:rPr>
        <w:t>多场专家咨询会参与课题研究和政策咨询活动，为促进全市经济运行稳步回升向好和相关政策制定提供重要支撑。</w:t>
      </w:r>
    </w:p>
    <w:p w:rsidR="00546122" w:rsidRDefault="00FA1383">
      <w:pPr>
        <w:spacing w:line="560" w:lineRule="exact"/>
        <w:ind w:firstLine="643"/>
        <w:outlineLvl w:val="1"/>
        <w:rPr>
          <w:rFonts w:eastAsia="方正楷体_GBK"/>
          <w:b/>
          <w:bCs/>
          <w:color w:val="111111"/>
          <w:kern w:val="0"/>
          <w:sz w:val="34"/>
          <w:szCs w:val="34"/>
          <w:shd w:val="clear" w:color="auto" w:fill="FFFFFF"/>
        </w:rPr>
      </w:pPr>
      <w:r>
        <w:rPr>
          <w:rFonts w:eastAsia="方正楷体_GBK"/>
          <w:b/>
          <w:bCs/>
          <w:sz w:val="32"/>
          <w:szCs w:val="32"/>
        </w:rPr>
        <w:t>（</w:t>
      </w:r>
      <w:r>
        <w:rPr>
          <w:rFonts w:eastAsia="方正楷体_GBK" w:hint="eastAsia"/>
          <w:b/>
          <w:bCs/>
          <w:sz w:val="32"/>
          <w:szCs w:val="32"/>
        </w:rPr>
        <w:t>六</w:t>
      </w:r>
      <w:r>
        <w:rPr>
          <w:rFonts w:eastAsia="方正楷体_GBK"/>
          <w:b/>
          <w:bCs/>
          <w:sz w:val="32"/>
          <w:szCs w:val="32"/>
        </w:rPr>
        <w:t>）</w:t>
      </w:r>
      <w:r>
        <w:rPr>
          <w:rFonts w:eastAsia="方正楷体_GBK" w:hint="eastAsia"/>
          <w:b/>
          <w:bCs/>
          <w:sz w:val="32"/>
          <w:szCs w:val="32"/>
        </w:rPr>
        <w:t>压实</w:t>
      </w:r>
      <w:r>
        <w:rPr>
          <w:rFonts w:eastAsia="方正楷体_GBK"/>
          <w:b/>
          <w:bCs/>
          <w:sz w:val="32"/>
          <w:szCs w:val="32"/>
        </w:rPr>
        <w:t>主体责任，</w:t>
      </w:r>
      <w:r>
        <w:rPr>
          <w:rFonts w:eastAsia="方正楷体_GBK" w:hint="eastAsia"/>
          <w:b/>
          <w:bCs/>
          <w:sz w:val="32"/>
          <w:szCs w:val="32"/>
        </w:rPr>
        <w:t>多管齐下加强</w:t>
      </w:r>
      <w:r>
        <w:rPr>
          <w:rFonts w:eastAsia="方正楷体_GBK"/>
          <w:b/>
          <w:bCs/>
          <w:sz w:val="32"/>
          <w:szCs w:val="32"/>
        </w:rPr>
        <w:t>内控管理</w:t>
      </w:r>
    </w:p>
    <w:p w:rsidR="00546122" w:rsidRDefault="00FA1383">
      <w:pPr>
        <w:spacing w:line="560" w:lineRule="exact"/>
        <w:ind w:firstLine="680"/>
        <w:rPr>
          <w:rFonts w:eastAsia="方正仿宋_GBK"/>
          <w:spacing w:val="10"/>
          <w:sz w:val="32"/>
          <w:szCs w:val="32"/>
        </w:rPr>
      </w:pPr>
      <w:r>
        <w:rPr>
          <w:rFonts w:eastAsia="方正仿宋_GBK"/>
          <w:spacing w:val="10"/>
          <w:sz w:val="32"/>
          <w:szCs w:val="32"/>
        </w:rPr>
        <w:lastRenderedPageBreak/>
        <w:t>中心统筹做好发展与安全的关系，压实主体责任，抓好安全生产，不断提升内控管理，推动部门平稳有序发展。</w:t>
      </w:r>
      <w:r>
        <w:rPr>
          <w:rFonts w:ascii="方正楷体_GBK" w:eastAsia="方正楷体_GBK" w:hAnsi="方正楷体_GBK" w:cs="方正楷体_GBK"/>
          <w:sz w:val="32"/>
          <w:szCs w:val="32"/>
        </w:rPr>
        <w:t>一是抓实做细安全生产</w:t>
      </w:r>
      <w:r>
        <w:rPr>
          <w:rFonts w:eastAsia="方正仿宋_GBK"/>
          <w:spacing w:val="10"/>
          <w:sz w:val="32"/>
          <w:szCs w:val="32"/>
        </w:rPr>
        <w:t>。为提高中心安全生产方面的管理水平和责任意识，中心先后组织开展了</w:t>
      </w:r>
      <w:r>
        <w:rPr>
          <w:rFonts w:eastAsia="方正仿宋_GBK" w:hint="eastAsia"/>
          <w:spacing w:val="10"/>
          <w:sz w:val="32"/>
          <w:szCs w:val="32"/>
        </w:rPr>
        <w:t>保密</w:t>
      </w:r>
      <w:r>
        <w:rPr>
          <w:rFonts w:eastAsia="方正仿宋_GBK"/>
          <w:spacing w:val="10"/>
          <w:sz w:val="32"/>
          <w:szCs w:val="32"/>
        </w:rPr>
        <w:t>基础知识、消防安全讲座</w:t>
      </w:r>
      <w:r>
        <w:rPr>
          <w:rFonts w:eastAsia="方正仿宋_GBK"/>
          <w:spacing w:val="10"/>
          <w:sz w:val="32"/>
          <w:szCs w:val="32"/>
        </w:rPr>
        <w:t>等方面培训，切实增强安全生产意识、增强消防必备技能，严格按照全市重大事故隐患专项排查整治行动要求，</w:t>
      </w:r>
      <w:r>
        <w:rPr>
          <w:rFonts w:eastAsia="方正仿宋_GBK" w:hint="eastAsia"/>
          <w:spacing w:val="10"/>
          <w:sz w:val="32"/>
          <w:szCs w:val="32"/>
        </w:rPr>
        <w:t>对</w:t>
      </w:r>
      <w:r>
        <w:rPr>
          <w:rFonts w:eastAsia="方正仿宋_GBK"/>
          <w:spacing w:val="10"/>
          <w:sz w:val="32"/>
          <w:szCs w:val="32"/>
        </w:rPr>
        <w:t>中心强弱电井进行封堵，用高水平安全保障高质量发展。</w:t>
      </w:r>
      <w:r>
        <w:rPr>
          <w:rFonts w:ascii="方正楷体_GBK" w:eastAsia="方正楷体_GBK" w:hAnsi="方正楷体_GBK" w:cs="方正楷体_GBK"/>
          <w:sz w:val="32"/>
          <w:szCs w:val="32"/>
        </w:rPr>
        <w:t>二是</w:t>
      </w:r>
      <w:r>
        <w:rPr>
          <w:rFonts w:ascii="方正楷体_GBK" w:eastAsia="方正楷体_GBK" w:hAnsi="方正楷体_GBK" w:cs="方正楷体_GBK" w:hint="eastAsia"/>
          <w:sz w:val="32"/>
          <w:szCs w:val="32"/>
        </w:rPr>
        <w:t>查漏补缺</w:t>
      </w:r>
      <w:r>
        <w:rPr>
          <w:rFonts w:ascii="方正楷体_GBK" w:eastAsia="方正楷体_GBK" w:hAnsi="方正楷体_GBK" w:cs="方正楷体_GBK"/>
          <w:sz w:val="32"/>
          <w:szCs w:val="32"/>
        </w:rPr>
        <w:t>内控</w:t>
      </w:r>
      <w:r>
        <w:rPr>
          <w:rFonts w:ascii="方正楷体_GBK" w:eastAsia="方正楷体_GBK" w:hAnsi="方正楷体_GBK" w:cs="方正楷体_GBK" w:hint="eastAsia"/>
          <w:sz w:val="32"/>
          <w:szCs w:val="32"/>
        </w:rPr>
        <w:t>制度</w:t>
      </w:r>
      <w:r>
        <w:rPr>
          <w:rFonts w:ascii="方正楷体_GBK" w:eastAsia="方正楷体_GBK" w:hAnsi="方正楷体_GBK" w:cs="方正楷体_GBK"/>
          <w:sz w:val="32"/>
          <w:szCs w:val="32"/>
        </w:rPr>
        <w:t>。</w:t>
      </w:r>
      <w:r>
        <w:rPr>
          <w:rFonts w:eastAsia="方正仿宋_GBK"/>
          <w:spacing w:val="10"/>
          <w:sz w:val="32"/>
          <w:szCs w:val="32"/>
        </w:rPr>
        <w:t>在严格遵守既有内控管理文件的基础上，中心先后成立</w:t>
      </w:r>
      <w:r>
        <w:rPr>
          <w:rFonts w:eastAsia="方正仿宋_GBK" w:hint="eastAsia"/>
          <w:spacing w:val="10"/>
          <w:sz w:val="32"/>
          <w:szCs w:val="32"/>
        </w:rPr>
        <w:t>内部控制领导小组、意识形态和网络安全领导小组、作风建设领导小组、保密工作领导小组、安全生产工作领导小组等</w:t>
      </w:r>
      <w:r>
        <w:rPr>
          <w:rFonts w:eastAsia="方正仿宋_GBK" w:hint="eastAsia"/>
          <w:spacing w:val="10"/>
          <w:sz w:val="32"/>
          <w:szCs w:val="32"/>
        </w:rPr>
        <w:t>5</w:t>
      </w:r>
      <w:r>
        <w:rPr>
          <w:rFonts w:eastAsia="方正仿宋_GBK" w:hint="eastAsia"/>
          <w:spacing w:val="10"/>
          <w:sz w:val="32"/>
          <w:szCs w:val="32"/>
        </w:rPr>
        <w:t>个小组。针对内部审计出现的问题，结合</w:t>
      </w:r>
      <w:r>
        <w:rPr>
          <w:rFonts w:eastAsia="方正仿宋_GBK"/>
          <w:spacing w:val="10"/>
          <w:sz w:val="32"/>
          <w:szCs w:val="32"/>
        </w:rPr>
        <w:t>新形势新要求，中心</w:t>
      </w:r>
      <w:r>
        <w:rPr>
          <w:rFonts w:eastAsia="方正仿宋_GBK" w:hint="eastAsia"/>
          <w:spacing w:val="10"/>
          <w:sz w:val="32"/>
          <w:szCs w:val="32"/>
        </w:rPr>
        <w:t>从三重一大</w:t>
      </w:r>
      <w:r>
        <w:rPr>
          <w:rFonts w:eastAsia="方正仿宋_GBK"/>
          <w:spacing w:val="10"/>
          <w:sz w:val="32"/>
          <w:szCs w:val="32"/>
        </w:rPr>
        <w:t>决策、预算编制执行、财务报销、</w:t>
      </w:r>
      <w:r>
        <w:rPr>
          <w:rFonts w:eastAsia="方正仿宋_GBK" w:hint="eastAsia"/>
          <w:spacing w:val="10"/>
          <w:sz w:val="32"/>
          <w:szCs w:val="32"/>
        </w:rPr>
        <w:t>固定资产、智库经费</w:t>
      </w:r>
      <w:r>
        <w:rPr>
          <w:rFonts w:eastAsia="方正仿宋_GBK"/>
          <w:spacing w:val="10"/>
          <w:sz w:val="32"/>
          <w:szCs w:val="32"/>
        </w:rPr>
        <w:t>、</w:t>
      </w:r>
      <w:r>
        <w:rPr>
          <w:rFonts w:eastAsia="方正仿宋_GBK" w:hint="eastAsia"/>
          <w:spacing w:val="10"/>
          <w:sz w:val="32"/>
          <w:szCs w:val="32"/>
        </w:rPr>
        <w:t>党建经费</w:t>
      </w:r>
      <w:r>
        <w:rPr>
          <w:rFonts w:eastAsia="方正仿宋_GBK"/>
          <w:spacing w:val="10"/>
          <w:sz w:val="32"/>
          <w:szCs w:val="32"/>
        </w:rPr>
        <w:t>、合同、课题</w:t>
      </w:r>
      <w:r>
        <w:rPr>
          <w:rFonts w:eastAsia="方正仿宋_GBK" w:hint="eastAsia"/>
          <w:spacing w:val="10"/>
          <w:sz w:val="32"/>
          <w:szCs w:val="32"/>
        </w:rPr>
        <w:t>、</w:t>
      </w:r>
      <w:r>
        <w:rPr>
          <w:rFonts w:eastAsia="方正仿宋_GBK"/>
          <w:spacing w:val="10"/>
          <w:sz w:val="32"/>
          <w:szCs w:val="32"/>
        </w:rPr>
        <w:t>公务车辆、采购、互联网平台</w:t>
      </w:r>
      <w:r>
        <w:rPr>
          <w:rFonts w:eastAsia="方正仿宋_GBK" w:hint="eastAsia"/>
          <w:spacing w:val="10"/>
          <w:sz w:val="32"/>
          <w:szCs w:val="32"/>
        </w:rPr>
        <w:t>使用等方面</w:t>
      </w:r>
      <w:r>
        <w:rPr>
          <w:rFonts w:eastAsia="方正仿宋_GBK"/>
          <w:spacing w:val="10"/>
          <w:sz w:val="32"/>
          <w:szCs w:val="32"/>
        </w:rPr>
        <w:t>出台</w:t>
      </w:r>
      <w:r>
        <w:rPr>
          <w:rFonts w:eastAsia="方正仿宋_GBK" w:hint="eastAsia"/>
          <w:spacing w:val="10"/>
          <w:sz w:val="32"/>
          <w:szCs w:val="32"/>
        </w:rPr>
        <w:t>更新</w:t>
      </w:r>
      <w:r>
        <w:rPr>
          <w:rFonts w:eastAsia="方正仿宋_GBK" w:hint="eastAsia"/>
          <w:spacing w:val="10"/>
          <w:sz w:val="32"/>
          <w:szCs w:val="32"/>
        </w:rPr>
        <w:t>1</w:t>
      </w:r>
      <w:r>
        <w:rPr>
          <w:rFonts w:eastAsia="方正仿宋_GBK"/>
          <w:spacing w:val="10"/>
          <w:sz w:val="32"/>
          <w:szCs w:val="32"/>
        </w:rPr>
        <w:t>1</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从制度层面</w:t>
      </w:r>
      <w:r>
        <w:rPr>
          <w:rFonts w:eastAsia="方正仿宋_GBK"/>
          <w:spacing w:val="10"/>
          <w:sz w:val="32"/>
          <w:szCs w:val="32"/>
        </w:rPr>
        <w:t>上</w:t>
      </w:r>
      <w:r>
        <w:rPr>
          <w:rFonts w:eastAsia="方正仿宋_GBK" w:hint="eastAsia"/>
          <w:spacing w:val="10"/>
          <w:sz w:val="32"/>
          <w:szCs w:val="32"/>
        </w:rPr>
        <w:t>对中心</w:t>
      </w:r>
      <w:r>
        <w:rPr>
          <w:rFonts w:eastAsia="方正仿宋_GBK"/>
          <w:spacing w:val="10"/>
          <w:sz w:val="32"/>
          <w:szCs w:val="32"/>
        </w:rPr>
        <w:t>内控管理开展进行细化管理。</w:t>
      </w:r>
      <w:r>
        <w:rPr>
          <w:rFonts w:ascii="方正楷体_GBK" w:eastAsia="方正楷体_GBK" w:hAnsi="方正楷体_GBK" w:cs="方正楷体_GBK"/>
          <w:sz w:val="32"/>
          <w:szCs w:val="32"/>
        </w:rPr>
        <w:t>三是规范开展人员管理</w:t>
      </w:r>
      <w:r>
        <w:rPr>
          <w:rFonts w:eastAsia="方正仿宋_GBK"/>
          <w:spacing w:val="10"/>
          <w:sz w:val="32"/>
          <w:szCs w:val="32"/>
        </w:rPr>
        <w:t>。</w:t>
      </w:r>
      <w:r>
        <w:rPr>
          <w:rFonts w:eastAsia="方正仿宋_GBK" w:hint="eastAsia"/>
          <w:spacing w:val="10"/>
          <w:sz w:val="32"/>
          <w:szCs w:val="32"/>
        </w:rPr>
        <w:t>为</w:t>
      </w:r>
      <w:r>
        <w:rPr>
          <w:rFonts w:eastAsia="方正仿宋_GBK"/>
          <w:spacing w:val="10"/>
          <w:sz w:val="32"/>
          <w:szCs w:val="32"/>
        </w:rPr>
        <w:t>规范中心人员管理</w:t>
      </w:r>
      <w:r>
        <w:rPr>
          <w:rFonts w:eastAsia="方正仿宋_GBK" w:hint="eastAsia"/>
          <w:spacing w:val="10"/>
          <w:sz w:val="32"/>
          <w:szCs w:val="32"/>
        </w:rPr>
        <w:t>，</w:t>
      </w:r>
      <w:r>
        <w:rPr>
          <w:rFonts w:eastAsia="方正仿宋_GBK"/>
          <w:spacing w:val="10"/>
          <w:sz w:val="32"/>
          <w:szCs w:val="32"/>
        </w:rPr>
        <w:t>中心先后</w:t>
      </w:r>
      <w:r>
        <w:rPr>
          <w:rFonts w:eastAsia="方正仿宋_GBK" w:hint="eastAsia"/>
          <w:spacing w:val="10"/>
          <w:sz w:val="32"/>
          <w:szCs w:val="32"/>
        </w:rPr>
        <w:t>更新</w:t>
      </w:r>
      <w:r>
        <w:rPr>
          <w:rFonts w:eastAsia="方正仿宋_GBK"/>
          <w:spacing w:val="10"/>
          <w:sz w:val="32"/>
          <w:szCs w:val="32"/>
        </w:rPr>
        <w:t>了</w:t>
      </w:r>
      <w:r>
        <w:rPr>
          <w:rFonts w:eastAsia="方正仿宋_GBK" w:hint="eastAsia"/>
          <w:spacing w:val="10"/>
          <w:sz w:val="32"/>
          <w:szCs w:val="32"/>
        </w:rPr>
        <w:t>《市宏观中心专业技术岗位和管理七—八级岗位竞聘上岗实施办法》《奖励性绩效、专项绩效分配管理办法》《南京市宏观经济研究中心关于规范工作人员请（休）假、调休的管理规定》等</w:t>
      </w:r>
      <w:r>
        <w:rPr>
          <w:rFonts w:eastAsia="方正仿宋_GBK" w:hint="eastAsia"/>
          <w:spacing w:val="10"/>
          <w:sz w:val="32"/>
          <w:szCs w:val="32"/>
        </w:rPr>
        <w:t>3</w:t>
      </w:r>
      <w:r>
        <w:rPr>
          <w:rFonts w:eastAsia="方正仿宋_GBK" w:hint="eastAsia"/>
          <w:spacing w:val="10"/>
          <w:sz w:val="32"/>
          <w:szCs w:val="32"/>
        </w:rPr>
        <w:t>个</w:t>
      </w:r>
      <w:r>
        <w:rPr>
          <w:rFonts w:eastAsia="方正仿宋_GBK"/>
          <w:spacing w:val="10"/>
          <w:sz w:val="32"/>
          <w:szCs w:val="32"/>
        </w:rPr>
        <w:t>制度</w:t>
      </w:r>
      <w:r>
        <w:rPr>
          <w:rFonts w:eastAsia="方正仿宋_GBK" w:hint="eastAsia"/>
          <w:spacing w:val="10"/>
          <w:sz w:val="32"/>
          <w:szCs w:val="32"/>
        </w:rPr>
        <w:t>。</w:t>
      </w:r>
      <w:r>
        <w:rPr>
          <w:rFonts w:eastAsia="方正仿宋_GBK"/>
          <w:spacing w:val="10"/>
          <w:sz w:val="32"/>
          <w:szCs w:val="32"/>
        </w:rPr>
        <w:t>为进一步提高研究人员专业能力、专业素养、专业精神，加强中心研究能力体系建设，在委人事处、机关党委的指导下，中心圆满完成了</w:t>
      </w:r>
      <w:r>
        <w:rPr>
          <w:rFonts w:eastAsia="方正仿宋_GBK"/>
          <w:spacing w:val="10"/>
          <w:sz w:val="32"/>
          <w:szCs w:val="32"/>
        </w:rPr>
        <w:t>2024</w:t>
      </w:r>
      <w:r>
        <w:rPr>
          <w:rFonts w:eastAsia="方正仿宋_GBK"/>
          <w:spacing w:val="10"/>
          <w:sz w:val="32"/>
          <w:szCs w:val="32"/>
        </w:rPr>
        <w:t>年度专业技术岗位竞聘上岗。</w:t>
      </w:r>
    </w:p>
    <w:p w:rsidR="00546122" w:rsidRDefault="00FA1383" w:rsidP="00693E53">
      <w:pPr>
        <w:pStyle w:val="30"/>
        <w:spacing w:beforeLines="150"/>
        <w:rPr>
          <w:rFonts w:eastAsia="方正仿宋_GBK"/>
        </w:rPr>
      </w:pPr>
      <w:r>
        <w:rPr>
          <w:rFonts w:ascii="Times New Roman" w:hAnsi="Times New Roman"/>
        </w:rPr>
        <w:lastRenderedPageBreak/>
        <w:t>四、存在问题及原因分析</w:t>
      </w:r>
    </w:p>
    <w:p w:rsidR="00546122" w:rsidRDefault="00FA1383">
      <w:pPr>
        <w:widowControl/>
        <w:spacing w:line="600" w:lineRule="exact"/>
        <w:ind w:firstLine="640"/>
        <w:rPr>
          <w:rFonts w:eastAsia="方正仿宋_GBK"/>
          <w:sz w:val="32"/>
          <w:szCs w:val="32"/>
        </w:rPr>
      </w:pPr>
      <w:r>
        <w:rPr>
          <w:rFonts w:eastAsia="方正仿宋_GBK"/>
          <w:sz w:val="32"/>
          <w:szCs w:val="32"/>
        </w:rPr>
        <w:t>（一）年度工作计划制定</w:t>
      </w:r>
      <w:r>
        <w:rPr>
          <w:rFonts w:eastAsia="方正仿宋_GBK" w:hint="eastAsia"/>
          <w:sz w:val="32"/>
          <w:szCs w:val="32"/>
        </w:rPr>
        <w:t>未能</w:t>
      </w:r>
      <w:r>
        <w:rPr>
          <w:rFonts w:eastAsia="方正仿宋_GBK"/>
          <w:sz w:val="32"/>
          <w:szCs w:val="32"/>
        </w:rPr>
        <w:t>量化</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宏观中心于</w:t>
      </w:r>
      <w:r>
        <w:rPr>
          <w:rFonts w:eastAsia="方正仿宋_GBK" w:hint="eastAsia"/>
          <w:sz w:val="32"/>
          <w:szCs w:val="32"/>
        </w:rPr>
        <w:t>2023</w:t>
      </w:r>
      <w:r>
        <w:rPr>
          <w:rFonts w:eastAsia="方正仿宋_GBK" w:hint="eastAsia"/>
          <w:sz w:val="32"/>
          <w:szCs w:val="32"/>
        </w:rPr>
        <w:t>年底从课题研究、经济监测等方面制定了</w:t>
      </w:r>
      <w:r>
        <w:rPr>
          <w:rFonts w:eastAsia="方正仿宋_GBK" w:hint="eastAsia"/>
          <w:sz w:val="32"/>
          <w:szCs w:val="32"/>
        </w:rPr>
        <w:t>2024</w:t>
      </w:r>
      <w:r>
        <w:rPr>
          <w:rFonts w:eastAsia="方正仿宋_GBK" w:hint="eastAsia"/>
          <w:sz w:val="32"/>
          <w:szCs w:val="32"/>
        </w:rPr>
        <w:t>年度的重点工作计划，内容全面，且符合单位履职要求，虽年度工作均已按期完成，考虑到年度研究工作的不确定性，无法对具体研究工作时间及任务量进行量化。</w:t>
      </w:r>
    </w:p>
    <w:p w:rsidR="00546122" w:rsidRDefault="00FA1383">
      <w:pPr>
        <w:widowControl/>
        <w:spacing w:line="600" w:lineRule="exact"/>
        <w:ind w:firstLine="640"/>
        <w:rPr>
          <w:rFonts w:eastAsia="方正仿宋_GBK"/>
          <w:sz w:val="32"/>
          <w:szCs w:val="32"/>
        </w:rPr>
      </w:pPr>
      <w:r>
        <w:rPr>
          <w:rFonts w:eastAsia="方正仿宋_GBK"/>
          <w:sz w:val="32"/>
          <w:szCs w:val="32"/>
        </w:rPr>
        <w:t>（</w:t>
      </w:r>
      <w:r>
        <w:rPr>
          <w:rFonts w:eastAsia="方正仿宋_GBK" w:hint="eastAsia"/>
          <w:sz w:val="32"/>
          <w:szCs w:val="32"/>
        </w:rPr>
        <w:t>二</w:t>
      </w:r>
      <w:r>
        <w:rPr>
          <w:rFonts w:eastAsia="方正仿宋_GBK"/>
          <w:sz w:val="32"/>
          <w:szCs w:val="32"/>
        </w:rPr>
        <w:t>）人员结构不尽合理</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2024</w:t>
      </w:r>
      <w:r>
        <w:rPr>
          <w:rFonts w:eastAsia="方正仿宋_GBK" w:hint="eastAsia"/>
          <w:sz w:val="32"/>
          <w:szCs w:val="32"/>
        </w:rPr>
        <w:t>年，</w:t>
      </w:r>
      <w:r>
        <w:rPr>
          <w:rFonts w:eastAsia="方正仿宋_GBK"/>
          <w:sz w:val="32"/>
          <w:szCs w:val="32"/>
        </w:rPr>
        <w:t>宏观中心</w:t>
      </w:r>
      <w:r>
        <w:rPr>
          <w:rFonts w:eastAsia="方正仿宋_GBK" w:hint="eastAsia"/>
          <w:sz w:val="32"/>
          <w:szCs w:val="32"/>
        </w:rPr>
        <w:t>人员</w:t>
      </w:r>
      <w:r>
        <w:rPr>
          <w:rFonts w:eastAsia="方正仿宋_GBK"/>
          <w:sz w:val="32"/>
          <w:szCs w:val="32"/>
        </w:rPr>
        <w:t>平均年龄</w:t>
      </w:r>
      <w:r>
        <w:rPr>
          <w:rFonts w:eastAsia="方正仿宋_GBK"/>
          <w:sz w:val="32"/>
          <w:szCs w:val="32"/>
        </w:rPr>
        <w:t>4</w:t>
      </w:r>
      <w:r>
        <w:rPr>
          <w:rFonts w:eastAsia="方正仿宋_GBK" w:hint="eastAsia"/>
          <w:sz w:val="32"/>
          <w:szCs w:val="32"/>
        </w:rPr>
        <w:t>4</w:t>
      </w:r>
      <w:r>
        <w:rPr>
          <w:rFonts w:eastAsia="方正仿宋_GBK"/>
          <w:sz w:val="32"/>
          <w:szCs w:val="32"/>
        </w:rPr>
        <w:t>岁，具有中高级专业技术职称的有</w:t>
      </w:r>
      <w:r>
        <w:rPr>
          <w:rFonts w:eastAsia="方正仿宋_GBK"/>
          <w:sz w:val="32"/>
          <w:szCs w:val="32"/>
        </w:rPr>
        <w:t>1</w:t>
      </w:r>
      <w:r>
        <w:rPr>
          <w:rFonts w:eastAsia="方正仿宋_GBK" w:hint="eastAsia"/>
          <w:sz w:val="32"/>
          <w:szCs w:val="32"/>
        </w:rPr>
        <w:t>9</w:t>
      </w:r>
      <w:r>
        <w:rPr>
          <w:rFonts w:eastAsia="方正仿宋_GBK"/>
          <w:sz w:val="32"/>
          <w:szCs w:val="32"/>
        </w:rPr>
        <w:t>人，其中</w:t>
      </w:r>
      <w:r>
        <w:rPr>
          <w:rFonts w:eastAsia="方正仿宋_GBK"/>
          <w:sz w:val="32"/>
          <w:szCs w:val="32"/>
        </w:rPr>
        <w:t>40</w:t>
      </w:r>
      <w:r>
        <w:rPr>
          <w:rFonts w:eastAsia="方正仿宋_GBK"/>
          <w:sz w:val="32"/>
          <w:szCs w:val="32"/>
        </w:rPr>
        <w:t>周岁以下的为</w:t>
      </w:r>
      <w:r>
        <w:rPr>
          <w:rFonts w:eastAsia="方正仿宋_GBK" w:hint="eastAsia"/>
          <w:sz w:val="32"/>
          <w:szCs w:val="32"/>
        </w:rPr>
        <w:t>9</w:t>
      </w:r>
      <w:r>
        <w:rPr>
          <w:rFonts w:eastAsia="方正仿宋_GBK"/>
          <w:sz w:val="32"/>
          <w:szCs w:val="32"/>
        </w:rPr>
        <w:t>人，</w:t>
      </w:r>
      <w:r>
        <w:rPr>
          <w:rFonts w:eastAsia="方正仿宋_GBK" w:hint="eastAsia"/>
          <w:sz w:val="32"/>
          <w:szCs w:val="32"/>
        </w:rPr>
        <w:t>与</w:t>
      </w:r>
      <w:r>
        <w:rPr>
          <w:rFonts w:eastAsia="方正仿宋_GBK" w:hint="eastAsia"/>
          <w:sz w:val="32"/>
          <w:szCs w:val="32"/>
        </w:rPr>
        <w:t>2023</w:t>
      </w:r>
      <w:r>
        <w:rPr>
          <w:rFonts w:eastAsia="方正仿宋_GBK" w:hint="eastAsia"/>
          <w:sz w:val="32"/>
          <w:szCs w:val="32"/>
        </w:rPr>
        <w:t>年相比有所提升，但人员结构仍然欠缺合理，青年专业技术人员占比较少，不利于单位的可持续发展。两名内控岗位人员面临退休，需进一步优化内控岗位人员安排。</w:t>
      </w:r>
    </w:p>
    <w:p w:rsidR="00546122" w:rsidRDefault="00FA1383" w:rsidP="00693E53">
      <w:pPr>
        <w:pStyle w:val="30"/>
        <w:spacing w:beforeLines="150"/>
        <w:rPr>
          <w:rFonts w:ascii="Times New Roman" w:hAnsi="Times New Roman"/>
        </w:rPr>
      </w:pPr>
      <w:r>
        <w:rPr>
          <w:rFonts w:ascii="Times New Roman" w:hAnsi="Times New Roman"/>
        </w:rPr>
        <w:t>五、有关建议</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（一）制</w:t>
      </w:r>
      <w:r>
        <w:rPr>
          <w:rFonts w:eastAsia="方正仿宋_GBK" w:hint="eastAsia"/>
          <w:sz w:val="32"/>
          <w:szCs w:val="32"/>
        </w:rPr>
        <w:t>定具体可衡量的年度工作计划</w:t>
      </w:r>
    </w:p>
    <w:p w:rsidR="00546122" w:rsidRDefault="00FA1383">
      <w:pPr>
        <w:widowControl/>
        <w:spacing w:line="600" w:lineRule="exact"/>
        <w:ind w:firstLine="640"/>
        <w:rPr>
          <w:rFonts w:eastAsia="方正仿宋_GBK"/>
          <w:sz w:val="32"/>
          <w:szCs w:val="32"/>
        </w:rPr>
      </w:pPr>
      <w:r>
        <w:rPr>
          <w:rFonts w:eastAsia="方正仿宋_GBK" w:hint="eastAsia"/>
          <w:sz w:val="32"/>
          <w:szCs w:val="32"/>
        </w:rPr>
        <w:t>宏观中心在制定年度工作计划时，尽量设定具体可衡量的工作目标，以便单位在自我考评、总结时，能够清晰了解各阶段是否完成了既定目标，取得了预期的成效。</w:t>
      </w:r>
    </w:p>
    <w:p w:rsidR="00546122" w:rsidRDefault="00FA1383">
      <w:pPr>
        <w:widowControl/>
        <w:spacing w:line="600" w:lineRule="exact"/>
        <w:ind w:firstLine="640"/>
        <w:rPr>
          <w:rFonts w:eastAsia="方正仿宋_GBK"/>
          <w:sz w:val="32"/>
          <w:szCs w:val="32"/>
        </w:rPr>
      </w:pPr>
      <w:r>
        <w:rPr>
          <w:rFonts w:eastAsia="方正仿宋_GBK"/>
          <w:sz w:val="32"/>
          <w:szCs w:val="32"/>
        </w:rPr>
        <w:t>（</w:t>
      </w:r>
      <w:r>
        <w:rPr>
          <w:rFonts w:eastAsia="方正仿宋_GBK" w:hint="eastAsia"/>
          <w:sz w:val="32"/>
          <w:szCs w:val="32"/>
        </w:rPr>
        <w:t>二</w:t>
      </w:r>
      <w:r>
        <w:rPr>
          <w:rFonts w:eastAsia="方正仿宋_GBK"/>
          <w:sz w:val="32"/>
          <w:szCs w:val="32"/>
        </w:rPr>
        <w:t>）深化人才队伍建设</w:t>
      </w:r>
    </w:p>
    <w:p w:rsidR="00546122" w:rsidRDefault="00FA1383">
      <w:pPr>
        <w:widowControl/>
        <w:spacing w:line="600" w:lineRule="exact"/>
        <w:ind w:firstLine="640"/>
        <w:rPr>
          <w:rFonts w:eastAsia="方正仿宋_GBK"/>
          <w:sz w:val="32"/>
          <w:szCs w:val="32"/>
        </w:rPr>
      </w:pPr>
      <w:r>
        <w:rPr>
          <w:rFonts w:eastAsia="方正仿宋_GBK"/>
          <w:sz w:val="32"/>
          <w:szCs w:val="32"/>
        </w:rPr>
        <w:t>一方面单位通过</w:t>
      </w:r>
      <w:r>
        <w:rPr>
          <w:rFonts w:eastAsia="方正仿宋_GBK" w:hint="eastAsia"/>
          <w:sz w:val="32"/>
          <w:szCs w:val="32"/>
        </w:rPr>
        <w:t>年度</w:t>
      </w:r>
      <w:r>
        <w:rPr>
          <w:rFonts w:eastAsia="方正仿宋_GBK"/>
          <w:sz w:val="32"/>
          <w:szCs w:val="32"/>
        </w:rPr>
        <w:t>招聘</w:t>
      </w:r>
      <w:r>
        <w:rPr>
          <w:rFonts w:eastAsia="方正仿宋_GBK" w:hint="eastAsia"/>
          <w:sz w:val="32"/>
          <w:szCs w:val="32"/>
        </w:rPr>
        <w:t>引进年轻工作人员</w:t>
      </w:r>
      <w:r>
        <w:rPr>
          <w:rFonts w:eastAsia="方正仿宋_GBK"/>
          <w:sz w:val="32"/>
          <w:szCs w:val="32"/>
        </w:rPr>
        <w:t>，</w:t>
      </w:r>
      <w:r>
        <w:rPr>
          <w:rFonts w:eastAsia="方正仿宋_GBK" w:hint="eastAsia"/>
          <w:sz w:val="32"/>
          <w:szCs w:val="32"/>
        </w:rPr>
        <w:t>尽量</w:t>
      </w:r>
      <w:r>
        <w:rPr>
          <w:rFonts w:eastAsia="方正仿宋_GBK"/>
          <w:sz w:val="32"/>
          <w:szCs w:val="32"/>
        </w:rPr>
        <w:t>优化</w:t>
      </w:r>
      <w:r>
        <w:rPr>
          <w:rFonts w:eastAsia="方正仿宋_GBK" w:hint="eastAsia"/>
          <w:sz w:val="32"/>
          <w:szCs w:val="32"/>
        </w:rPr>
        <w:t>中心</w:t>
      </w:r>
      <w:r>
        <w:rPr>
          <w:rFonts w:eastAsia="方正仿宋_GBK"/>
          <w:sz w:val="32"/>
          <w:szCs w:val="32"/>
        </w:rPr>
        <w:t>年龄结构；另一方面，</w:t>
      </w:r>
      <w:r>
        <w:rPr>
          <w:rFonts w:eastAsia="方正仿宋_GBK" w:hint="eastAsia"/>
          <w:sz w:val="32"/>
          <w:szCs w:val="32"/>
        </w:rPr>
        <w:t>在内控岗位人员退休前安排合适人员跟班学习，确保内控岗位工作的连贯性。</w:t>
      </w:r>
    </w:p>
    <w:p w:rsidR="00546122" w:rsidRDefault="00FA1383" w:rsidP="00693E53">
      <w:pPr>
        <w:pStyle w:val="30"/>
        <w:spacing w:beforeLines="150"/>
        <w:rPr>
          <w:rFonts w:ascii="Times New Roman" w:hAnsi="Times New Roman"/>
        </w:rPr>
      </w:pPr>
      <w:r>
        <w:rPr>
          <w:rFonts w:ascii="Times New Roman" w:hAnsi="Times New Roman"/>
        </w:rPr>
        <w:lastRenderedPageBreak/>
        <w:t>六、评价工作开展情况及其他需要说明的情况</w:t>
      </w:r>
    </w:p>
    <w:p w:rsidR="00546122" w:rsidRDefault="00FA1383">
      <w:pPr>
        <w:pStyle w:val="GBK30"/>
        <w:rPr>
          <w:rFonts w:ascii="Times New Roman" w:hAnsi="Times New Roman"/>
        </w:rPr>
      </w:pPr>
      <w:bookmarkStart w:id="8" w:name="_Toc47023264"/>
      <w:r>
        <w:rPr>
          <w:rFonts w:ascii="Times New Roman" w:hAnsi="Times New Roman"/>
        </w:rPr>
        <w:t>（一）绩效评价目的</w:t>
      </w:r>
      <w:bookmarkEnd w:id="8"/>
    </w:p>
    <w:p w:rsidR="00546122" w:rsidRDefault="00FA1383">
      <w:pPr>
        <w:widowControl/>
        <w:spacing w:line="600" w:lineRule="exact"/>
        <w:ind w:firstLine="640"/>
        <w:rPr>
          <w:rFonts w:eastAsia="方正仿宋_GBK"/>
          <w:sz w:val="32"/>
          <w:szCs w:val="32"/>
        </w:rPr>
      </w:pPr>
      <w:r>
        <w:rPr>
          <w:rFonts w:eastAsia="方正仿宋_GBK"/>
          <w:sz w:val="32"/>
          <w:szCs w:val="32"/>
        </w:rPr>
        <w:t>通过对本单位</w:t>
      </w:r>
      <w:r>
        <w:rPr>
          <w:rFonts w:eastAsia="方正仿宋_GBK" w:hint="eastAsia"/>
          <w:sz w:val="32"/>
          <w:szCs w:val="32"/>
        </w:rPr>
        <w:t>2024</w:t>
      </w:r>
      <w:r>
        <w:rPr>
          <w:rFonts w:eastAsia="方正仿宋_GBK"/>
          <w:sz w:val="32"/>
          <w:szCs w:val="32"/>
        </w:rPr>
        <w:t>年度部门整体绩效评价工作，了解资金使用是否规范有效，评价资金支出效率和效果；了解单位内部管</w:t>
      </w:r>
      <w:r>
        <w:rPr>
          <w:rFonts w:eastAsia="方正仿宋_GBK"/>
          <w:sz w:val="32"/>
          <w:szCs w:val="32"/>
        </w:rPr>
        <w:t>理和团队建设情况，评价单位是否具备可持续发展能力；了解单位重点工作开展完成时效、质量，履职效果是否达到预期；促进单位整体强化预算绩效支出的责任和管理水平，保障单位更好地履行职责，强化智库支持服务功能</w:t>
      </w:r>
      <w:bookmarkStart w:id="9" w:name="_Toc47023265"/>
      <w:r>
        <w:rPr>
          <w:rFonts w:eastAsia="方正仿宋_GBK"/>
          <w:sz w:val="32"/>
          <w:szCs w:val="32"/>
        </w:rPr>
        <w:t>。</w:t>
      </w:r>
    </w:p>
    <w:p w:rsidR="00546122" w:rsidRDefault="00FA1383">
      <w:pPr>
        <w:pStyle w:val="GBK30"/>
        <w:rPr>
          <w:rFonts w:ascii="Times New Roman" w:hAnsi="Times New Roman"/>
        </w:rPr>
      </w:pPr>
      <w:r>
        <w:rPr>
          <w:rFonts w:ascii="Times New Roman" w:hAnsi="Times New Roman"/>
        </w:rPr>
        <w:t>（二）</w:t>
      </w:r>
      <w:bookmarkEnd w:id="9"/>
      <w:r>
        <w:rPr>
          <w:rFonts w:ascii="Times New Roman" w:hAnsi="Times New Roman"/>
        </w:rPr>
        <w:t>绩效评价原则</w:t>
      </w:r>
    </w:p>
    <w:p w:rsidR="00546122" w:rsidRDefault="00FA1383">
      <w:pPr>
        <w:widowControl/>
        <w:spacing w:line="600" w:lineRule="exact"/>
        <w:ind w:firstLine="640"/>
        <w:rPr>
          <w:rFonts w:eastAsia="方正仿宋_GBK"/>
          <w:sz w:val="32"/>
          <w:szCs w:val="32"/>
        </w:rPr>
      </w:pPr>
      <w:r>
        <w:rPr>
          <w:rFonts w:eastAsia="方正仿宋_GBK"/>
          <w:sz w:val="32"/>
          <w:szCs w:val="32"/>
        </w:rPr>
        <w:t>本次部门绩效评价坚持目标导向原则、系统科学性原则、可操作性原则和分类评价原则。</w:t>
      </w:r>
    </w:p>
    <w:p w:rsidR="00546122" w:rsidRDefault="00FA1383">
      <w:pPr>
        <w:pStyle w:val="GBK30"/>
        <w:rPr>
          <w:rFonts w:ascii="Times New Roman" w:hAnsi="Times New Roman"/>
        </w:rPr>
      </w:pPr>
      <w:r>
        <w:rPr>
          <w:rFonts w:ascii="Times New Roman" w:hAnsi="Times New Roman"/>
        </w:rPr>
        <w:t>（三）绩效评价思路</w:t>
      </w:r>
    </w:p>
    <w:p w:rsidR="00546122" w:rsidRDefault="00FA1383">
      <w:pPr>
        <w:widowControl/>
        <w:spacing w:line="600" w:lineRule="exact"/>
        <w:ind w:firstLine="640"/>
        <w:rPr>
          <w:rFonts w:eastAsia="方正仿宋_GBK"/>
          <w:sz w:val="32"/>
          <w:szCs w:val="32"/>
        </w:rPr>
      </w:pPr>
      <w:r>
        <w:rPr>
          <w:rFonts w:eastAsia="方正仿宋_GBK"/>
          <w:sz w:val="32"/>
          <w:szCs w:val="32"/>
        </w:rPr>
        <w:t>1.</w:t>
      </w:r>
      <w:r>
        <w:rPr>
          <w:rFonts w:eastAsia="方正仿宋_GBK"/>
          <w:sz w:val="32"/>
          <w:szCs w:val="32"/>
        </w:rPr>
        <w:t>根据财政预算编制相关要求，关注预算编制的准确性和合理性；</w:t>
      </w:r>
    </w:p>
    <w:p w:rsidR="00546122" w:rsidRDefault="00FA1383">
      <w:pPr>
        <w:widowControl/>
        <w:spacing w:line="600" w:lineRule="exact"/>
        <w:ind w:firstLine="640"/>
        <w:rPr>
          <w:rFonts w:eastAsia="方正仿宋_GBK"/>
          <w:sz w:val="32"/>
          <w:szCs w:val="32"/>
        </w:rPr>
      </w:pPr>
      <w:r>
        <w:rPr>
          <w:rFonts w:eastAsia="方正仿宋_GBK"/>
          <w:sz w:val="32"/>
          <w:szCs w:val="32"/>
        </w:rPr>
        <w:t>2.</w:t>
      </w:r>
      <w:r>
        <w:rPr>
          <w:rFonts w:eastAsia="方正仿宋_GBK"/>
          <w:sz w:val="32"/>
          <w:szCs w:val="32"/>
        </w:rPr>
        <w:t>关注单位中长期战略规划、关注绩效目标设定的合理性，明确性，与分解细化后的年度工作计划匹配性；</w:t>
      </w:r>
    </w:p>
    <w:p w:rsidR="00546122" w:rsidRDefault="00FA1383">
      <w:pPr>
        <w:widowControl/>
        <w:spacing w:line="600" w:lineRule="exact"/>
        <w:ind w:firstLine="640"/>
        <w:rPr>
          <w:rFonts w:eastAsia="方正仿宋_GBK"/>
          <w:sz w:val="32"/>
          <w:szCs w:val="32"/>
        </w:rPr>
      </w:pPr>
      <w:r>
        <w:rPr>
          <w:rFonts w:eastAsia="方正仿宋_GBK"/>
          <w:sz w:val="32"/>
          <w:szCs w:val="32"/>
        </w:rPr>
        <w:t>3.</w:t>
      </w:r>
      <w:r>
        <w:rPr>
          <w:rFonts w:eastAsia="方正仿宋_GBK"/>
          <w:sz w:val="32"/>
          <w:szCs w:val="32"/>
        </w:rPr>
        <w:t>关注单位内部控制管理情况，团队人力资源建设情况，考察部门长效性建设和可持续发展能力；</w:t>
      </w:r>
    </w:p>
    <w:p w:rsidR="00546122" w:rsidRDefault="00FA1383">
      <w:pPr>
        <w:widowControl/>
        <w:spacing w:line="600" w:lineRule="exact"/>
        <w:ind w:firstLine="640"/>
        <w:rPr>
          <w:rFonts w:eastAsia="方正仿宋_GBK"/>
          <w:sz w:val="32"/>
          <w:szCs w:val="32"/>
        </w:rPr>
      </w:pPr>
      <w:r>
        <w:rPr>
          <w:rFonts w:eastAsia="方正仿宋_GBK"/>
          <w:sz w:val="32"/>
          <w:szCs w:val="32"/>
        </w:rPr>
        <w:t>4.</w:t>
      </w:r>
      <w:r>
        <w:rPr>
          <w:rFonts w:eastAsia="方正仿宋_GBK"/>
          <w:sz w:val="32"/>
          <w:szCs w:val="32"/>
        </w:rPr>
        <w:t>关注预算资金使用管理，检验资金支出效率和效果；</w:t>
      </w:r>
    </w:p>
    <w:p w:rsidR="00546122" w:rsidRDefault="00FA1383">
      <w:pPr>
        <w:widowControl/>
        <w:spacing w:line="600" w:lineRule="exact"/>
        <w:ind w:firstLine="640"/>
        <w:rPr>
          <w:rFonts w:eastAsia="方正仿宋_GBK"/>
          <w:sz w:val="32"/>
          <w:szCs w:val="32"/>
        </w:rPr>
      </w:pPr>
      <w:r>
        <w:rPr>
          <w:rFonts w:eastAsia="方正仿宋_GBK"/>
          <w:sz w:val="32"/>
          <w:szCs w:val="32"/>
        </w:rPr>
        <w:t>5.</w:t>
      </w:r>
      <w:r>
        <w:rPr>
          <w:rFonts w:eastAsia="方正仿宋_GBK"/>
          <w:sz w:val="32"/>
          <w:szCs w:val="32"/>
        </w:rPr>
        <w:t>关注绩效目标的实际完成情况，重点工作任务的开展完成情况，及取得的社会效益；</w:t>
      </w:r>
    </w:p>
    <w:p w:rsidR="00546122" w:rsidRDefault="00FA1383">
      <w:pPr>
        <w:widowControl/>
        <w:spacing w:line="600" w:lineRule="exact"/>
        <w:ind w:firstLine="640"/>
        <w:rPr>
          <w:rFonts w:eastAsia="方正仿宋_GBK"/>
          <w:sz w:val="32"/>
          <w:szCs w:val="32"/>
        </w:rPr>
      </w:pPr>
      <w:r>
        <w:rPr>
          <w:rFonts w:eastAsia="方正仿宋_GBK"/>
          <w:sz w:val="32"/>
          <w:szCs w:val="32"/>
        </w:rPr>
        <w:t>通过上述工作思路，根据绩效目标的要求、相关业务流程因素订立评分规则，以单位绩效目标、重点工作计划、过</w:t>
      </w:r>
      <w:r>
        <w:rPr>
          <w:rFonts w:eastAsia="方正仿宋_GBK"/>
          <w:sz w:val="32"/>
          <w:szCs w:val="32"/>
        </w:rPr>
        <w:lastRenderedPageBreak/>
        <w:t>往绩效管理工作成果、现场访谈、问卷调查结果等作为标准值参考依据；挖掘分析各类数据，依据评分规则评定绩效分数。</w:t>
      </w:r>
    </w:p>
    <w:p w:rsidR="00546122" w:rsidRDefault="00FA1383">
      <w:pPr>
        <w:widowControl/>
        <w:spacing w:line="600" w:lineRule="exact"/>
        <w:ind w:firstLine="640"/>
        <w:rPr>
          <w:rFonts w:eastAsia="方正仿宋_GBK"/>
          <w:sz w:val="32"/>
          <w:szCs w:val="32"/>
        </w:rPr>
      </w:pPr>
      <w:bookmarkStart w:id="10" w:name="_Toc47023269"/>
      <w:r>
        <w:rPr>
          <w:rFonts w:eastAsia="方正仿宋_GBK"/>
          <w:sz w:val="32"/>
          <w:szCs w:val="32"/>
        </w:rPr>
        <w:t>附件：指标体系得分情况</w:t>
      </w:r>
    </w:p>
    <w:p w:rsidR="00546122" w:rsidRDefault="00FA1383">
      <w:pPr>
        <w:ind w:firstLineChars="1400" w:firstLine="4480"/>
        <w:rPr>
          <w:sz w:val="32"/>
          <w:szCs w:val="32"/>
        </w:rPr>
      </w:pPr>
      <w:r>
        <w:rPr>
          <w:sz w:val="32"/>
          <w:szCs w:val="32"/>
        </w:rPr>
        <w:t>南京市宏观经济研究中心</w:t>
      </w:r>
    </w:p>
    <w:p w:rsidR="00546122" w:rsidRDefault="00FA1383">
      <w:pPr>
        <w:pStyle w:val="a5"/>
        <w:ind w:firstLine="720"/>
        <w:jc w:val="center"/>
      </w:pPr>
      <w:r>
        <w:rPr>
          <w:rFonts w:hint="eastAsia"/>
          <w:sz w:val="32"/>
          <w:szCs w:val="32"/>
        </w:rPr>
        <w:t xml:space="preserve">                </w:t>
      </w:r>
      <w:r>
        <w:rPr>
          <w:rFonts w:hint="eastAsia"/>
          <w:sz w:val="32"/>
          <w:szCs w:val="32"/>
        </w:rPr>
        <w:t xml:space="preserve">    2025</w:t>
      </w:r>
      <w:r>
        <w:rPr>
          <w:sz w:val="32"/>
          <w:szCs w:val="32"/>
        </w:rPr>
        <w:t>年</w:t>
      </w:r>
      <w:r>
        <w:rPr>
          <w:rFonts w:hint="eastAsia"/>
          <w:sz w:val="32"/>
          <w:szCs w:val="32"/>
        </w:rPr>
        <w:t>6</w:t>
      </w:r>
      <w:r>
        <w:rPr>
          <w:sz w:val="32"/>
          <w:szCs w:val="32"/>
        </w:rPr>
        <w:t>月</w:t>
      </w:r>
      <w:r>
        <w:rPr>
          <w:rFonts w:hint="eastAsia"/>
          <w:sz w:val="32"/>
          <w:szCs w:val="32"/>
        </w:rPr>
        <w:t>17</w:t>
      </w:r>
      <w:r>
        <w:rPr>
          <w:sz w:val="32"/>
          <w:szCs w:val="32"/>
        </w:rPr>
        <w:t>日</w:t>
      </w:r>
    </w:p>
    <w:bookmarkEnd w:id="10"/>
    <w:p w:rsidR="00546122" w:rsidRDefault="00546122">
      <w:pPr>
        <w:ind w:firstLineChars="0" w:firstLine="0"/>
        <w:sectPr w:rsidR="00546122">
          <w:headerReference w:type="default" r:id="rId13"/>
          <w:footerReference w:type="default" r:id="rId14"/>
          <w:pgSz w:w="11906" w:h="16838"/>
          <w:pgMar w:top="1440" w:right="1800" w:bottom="1440" w:left="1800" w:header="851" w:footer="992" w:gutter="0"/>
          <w:cols w:space="425"/>
          <w:docGrid w:type="lines" w:linePitch="312"/>
        </w:sectPr>
      </w:pPr>
    </w:p>
    <w:p w:rsidR="00546122" w:rsidRDefault="00FA1383">
      <w:pPr>
        <w:pStyle w:val="1"/>
        <w:keepNext w:val="0"/>
        <w:keepLines w:val="0"/>
        <w:spacing w:after="340"/>
        <w:ind w:firstLineChars="0" w:firstLine="0"/>
        <w:rPr>
          <w:rFonts w:eastAsiaTheme="minorEastAsia"/>
          <w:b/>
          <w:bCs w:val="0"/>
          <w:kern w:val="0"/>
          <w:szCs w:val="30"/>
        </w:rPr>
      </w:pPr>
      <w:r>
        <w:rPr>
          <w:rFonts w:eastAsiaTheme="minorEastAsia"/>
          <w:b/>
          <w:bCs w:val="0"/>
          <w:kern w:val="0"/>
          <w:szCs w:val="30"/>
        </w:rPr>
        <w:lastRenderedPageBreak/>
        <w:t>附件：指标体系得分情况</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3"/>
        <w:gridCol w:w="1043"/>
        <w:gridCol w:w="3400"/>
        <w:gridCol w:w="3716"/>
        <w:gridCol w:w="623"/>
        <w:gridCol w:w="623"/>
        <w:gridCol w:w="2823"/>
      </w:tblGrid>
      <w:tr w:rsidR="00546122">
        <w:trPr>
          <w:trHeight w:val="290"/>
          <w:tblHeader/>
        </w:trPr>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一级指标</w:t>
            </w:r>
          </w:p>
        </w:tc>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二级指标</w:t>
            </w:r>
          </w:p>
        </w:tc>
        <w:tc>
          <w:tcPr>
            <w:tcW w:w="367"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三级指标</w:t>
            </w:r>
          </w:p>
        </w:tc>
        <w:tc>
          <w:tcPr>
            <w:tcW w:w="1196"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指标说明</w:t>
            </w:r>
          </w:p>
        </w:tc>
        <w:tc>
          <w:tcPr>
            <w:tcW w:w="1307"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评分标准</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分值</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得分</w:t>
            </w:r>
          </w:p>
        </w:tc>
        <w:tc>
          <w:tcPr>
            <w:tcW w:w="993"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评分说明</w:t>
            </w:r>
          </w:p>
        </w:tc>
      </w:tr>
      <w:tr w:rsidR="00546122">
        <w:trPr>
          <w:trHeight w:val="1707"/>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部门决策</w:t>
            </w:r>
            <w:r>
              <w:rPr>
                <w:color w:val="000000"/>
                <w:kern w:val="0"/>
                <w:sz w:val="21"/>
                <w:szCs w:val="21"/>
              </w:rPr>
              <w:br/>
            </w:r>
            <w:r>
              <w:rPr>
                <w:color w:val="000000"/>
                <w:kern w:val="0"/>
                <w:sz w:val="21"/>
                <w:szCs w:val="21"/>
              </w:rPr>
              <w:t>（</w:t>
            </w:r>
            <w:r>
              <w:rPr>
                <w:color w:val="000000"/>
                <w:kern w:val="0"/>
                <w:sz w:val="21"/>
                <w:szCs w:val="21"/>
              </w:rPr>
              <w:t>15</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kern w:val="0"/>
                <w:sz w:val="21"/>
                <w:szCs w:val="21"/>
              </w:rPr>
            </w:pPr>
            <w:r>
              <w:rPr>
                <w:kern w:val="0"/>
                <w:sz w:val="21"/>
                <w:szCs w:val="21"/>
              </w:rPr>
              <w:t>决策机制</w:t>
            </w:r>
            <w:r>
              <w:rPr>
                <w:kern w:val="0"/>
                <w:sz w:val="21"/>
                <w:szCs w:val="21"/>
              </w:rPr>
              <w:br/>
            </w:r>
            <w:r>
              <w:rPr>
                <w:kern w:val="0"/>
                <w:sz w:val="21"/>
                <w:szCs w:val="21"/>
              </w:rPr>
              <w:t>（</w:t>
            </w:r>
            <w:r>
              <w:rPr>
                <w:kern w:val="0"/>
                <w:sz w:val="21"/>
                <w:szCs w:val="21"/>
              </w:rPr>
              <w:t>6</w:t>
            </w:r>
            <w:r>
              <w:rPr>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决策制度的规范性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项目申请、设立过程是否符合相关要求，用以反映和考核决策行为的规范性。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项目决策是否按照规定的程序申请设立；</w:t>
            </w:r>
            <w:r>
              <w:rPr>
                <w:color w:val="000000"/>
                <w:kern w:val="0"/>
                <w:sz w:val="21"/>
                <w:szCs w:val="21"/>
              </w:rPr>
              <w:t>②</w:t>
            </w:r>
            <w:r>
              <w:rPr>
                <w:color w:val="000000"/>
                <w:kern w:val="0"/>
                <w:sz w:val="21"/>
                <w:szCs w:val="21"/>
              </w:rPr>
              <w:t>审批文件、材料是否符合相关要求。以上两项各占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单位按照上级主管部门要求制定了决策管理方面的制度。</w:t>
            </w:r>
          </w:p>
        </w:tc>
      </w:tr>
      <w:tr w:rsidR="00546122">
        <w:trPr>
          <w:trHeight w:val="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决策制度的科学性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项目决策是否符合法律法规、相关政策、发展规划以及部门职责，用以反映和考核决策制度的科学性。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项目决策是否符合国家法律法规、部门发展规划、履职所需和相关政策要求；</w:t>
            </w:r>
            <w:r>
              <w:rPr>
                <w:color w:val="000000"/>
                <w:kern w:val="0"/>
                <w:sz w:val="21"/>
                <w:szCs w:val="21"/>
              </w:rPr>
              <w:t>②</w:t>
            </w:r>
            <w:r>
              <w:rPr>
                <w:color w:val="000000"/>
                <w:kern w:val="0"/>
                <w:sz w:val="21"/>
                <w:szCs w:val="21"/>
              </w:rPr>
              <w:t>重大项目事前是否已经过必要的可行性研究、专家论证、风险评估、绩效评估、集体决策等。以上两项各占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单位制定的决策制度科学、清晰、全面，且符合单位实际情况。</w:t>
            </w:r>
          </w:p>
        </w:tc>
      </w:tr>
      <w:tr w:rsidR="00546122">
        <w:trPr>
          <w:trHeight w:val="75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决策执行监督制衡机制</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项目决策是否有监督制衡机制，加强对行政决策的制约和监督</w:t>
            </w:r>
            <w:r>
              <w:rPr>
                <w:color w:val="000000"/>
                <w:kern w:val="0"/>
                <w:sz w:val="21"/>
                <w:szCs w:val="21"/>
              </w:rPr>
              <w:t>,</w:t>
            </w:r>
            <w:r>
              <w:rPr>
                <w:color w:val="000000"/>
                <w:kern w:val="0"/>
                <w:sz w:val="21"/>
                <w:szCs w:val="21"/>
              </w:rPr>
              <w:t>提高决策效率，降低决策失误。</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存在决策监督制衡机制；</w:t>
            </w:r>
            <w:r>
              <w:rPr>
                <w:color w:val="000000"/>
                <w:kern w:val="0"/>
                <w:sz w:val="21"/>
                <w:szCs w:val="21"/>
              </w:rPr>
              <w:t>②</w:t>
            </w:r>
            <w:r>
              <w:rPr>
                <w:color w:val="000000"/>
                <w:kern w:val="0"/>
                <w:sz w:val="21"/>
                <w:szCs w:val="21"/>
              </w:rPr>
              <w:t>本年度无决策失误情况。以上两项各占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单位制定的决策监督制衡机制，在</w:t>
            </w:r>
            <w:r>
              <w:rPr>
                <w:rFonts w:hint="eastAsia"/>
                <w:color w:val="000000"/>
                <w:kern w:val="0"/>
                <w:sz w:val="21"/>
                <w:szCs w:val="21"/>
              </w:rPr>
              <w:t>2024</w:t>
            </w:r>
            <w:r>
              <w:rPr>
                <w:color w:val="000000"/>
                <w:kern w:val="0"/>
                <w:sz w:val="21"/>
                <w:szCs w:val="21"/>
              </w:rPr>
              <w:t>年度未发生决策失误情况。</w:t>
            </w:r>
          </w:p>
        </w:tc>
      </w:tr>
      <w:tr w:rsidR="00546122">
        <w:trPr>
          <w:trHeight w:val="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中长期</w:t>
            </w:r>
            <w:r>
              <w:rPr>
                <w:color w:val="000000"/>
                <w:kern w:val="0"/>
                <w:sz w:val="21"/>
                <w:szCs w:val="21"/>
              </w:rPr>
              <w:lastRenderedPageBreak/>
              <w:t>规划</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中长期</w:t>
            </w:r>
            <w:r>
              <w:rPr>
                <w:color w:val="000000"/>
                <w:kern w:val="0"/>
                <w:sz w:val="21"/>
                <w:szCs w:val="21"/>
              </w:rPr>
              <w:lastRenderedPageBreak/>
              <w:t>规划明确性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部门（单位）依据中长期发展规划</w:t>
            </w:r>
            <w:r>
              <w:rPr>
                <w:color w:val="000000"/>
                <w:kern w:val="0"/>
                <w:sz w:val="21"/>
                <w:szCs w:val="21"/>
              </w:rPr>
              <w:lastRenderedPageBreak/>
              <w:t>所设定的目标方向是否清晰、细化、可衡量。指标用以反映和考核部门（单位）中长期发展规划的明细化情况。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①</w:t>
            </w:r>
            <w:r>
              <w:rPr>
                <w:color w:val="000000"/>
                <w:kern w:val="0"/>
                <w:sz w:val="21"/>
                <w:szCs w:val="21"/>
              </w:rPr>
              <w:t>是否将整体的中长期规划细化分解</w:t>
            </w:r>
            <w:r>
              <w:rPr>
                <w:color w:val="000000"/>
                <w:kern w:val="0"/>
                <w:sz w:val="21"/>
                <w:szCs w:val="21"/>
              </w:rPr>
              <w:lastRenderedPageBreak/>
              <w:t>为具体方向的目标。较为具体得</w:t>
            </w:r>
            <w:r>
              <w:rPr>
                <w:color w:val="000000"/>
                <w:kern w:val="0"/>
                <w:sz w:val="21"/>
                <w:szCs w:val="21"/>
              </w:rPr>
              <w:t>1</w:t>
            </w:r>
            <w:r>
              <w:rPr>
                <w:color w:val="000000"/>
                <w:kern w:val="0"/>
                <w:sz w:val="21"/>
                <w:szCs w:val="21"/>
              </w:rPr>
              <w:t>分，具体化程度不高得</w:t>
            </w:r>
            <w:r>
              <w:rPr>
                <w:color w:val="000000"/>
                <w:kern w:val="0"/>
                <w:sz w:val="21"/>
                <w:szCs w:val="21"/>
              </w:rPr>
              <w:t>0.5</w:t>
            </w:r>
            <w:r>
              <w:rPr>
                <w:color w:val="000000"/>
                <w:kern w:val="0"/>
                <w:sz w:val="21"/>
                <w:szCs w:val="21"/>
              </w:rPr>
              <w:t>分，未予具体化不得分；</w:t>
            </w:r>
            <w:r>
              <w:rPr>
                <w:color w:val="000000"/>
                <w:kern w:val="0"/>
                <w:sz w:val="21"/>
                <w:szCs w:val="21"/>
              </w:rPr>
              <w:t>②</w:t>
            </w:r>
            <w:r>
              <w:rPr>
                <w:color w:val="000000"/>
                <w:kern w:val="0"/>
                <w:sz w:val="21"/>
                <w:szCs w:val="21"/>
              </w:rPr>
              <w:t>是否通过清晰、可衡量的指标值予以体现。较为清晰、可衡量的得</w:t>
            </w:r>
            <w:r>
              <w:rPr>
                <w:color w:val="000000"/>
                <w:kern w:val="0"/>
                <w:sz w:val="21"/>
                <w:szCs w:val="21"/>
              </w:rPr>
              <w:t>1</w:t>
            </w:r>
            <w:r>
              <w:rPr>
                <w:color w:val="000000"/>
                <w:kern w:val="0"/>
                <w:sz w:val="21"/>
                <w:szCs w:val="21"/>
              </w:rPr>
              <w:t>分，指标欠清晰得</w:t>
            </w:r>
            <w:r>
              <w:rPr>
                <w:color w:val="000000"/>
                <w:kern w:val="0"/>
                <w:sz w:val="21"/>
                <w:szCs w:val="21"/>
              </w:rPr>
              <w:t>0.5</w:t>
            </w:r>
            <w:r>
              <w:rPr>
                <w:color w:val="000000"/>
                <w:kern w:val="0"/>
                <w:sz w:val="21"/>
                <w:szCs w:val="21"/>
              </w:rPr>
              <w:t>分，未设置明确、可衡量的指标不得分。以上项分别评分，累计最高得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单位按照上级主管部门要求</w:t>
            </w:r>
            <w:r>
              <w:rPr>
                <w:color w:val="000000"/>
                <w:kern w:val="0"/>
                <w:sz w:val="21"/>
                <w:szCs w:val="21"/>
              </w:rPr>
              <w:lastRenderedPageBreak/>
              <w:t>制定了中长期规划，清晰、全面、可衡量。</w:t>
            </w:r>
          </w:p>
        </w:tc>
      </w:tr>
      <w:tr w:rsidR="00546122">
        <w:trPr>
          <w:trHeight w:val="179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中长期规划与部门职能匹配性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用以考核和反映中长期战略规划是否与部门职能相匹配，是否能充分发挥部门职能、功能定位。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单位制定的中长期规划符合部门实际需求。</w:t>
            </w:r>
          </w:p>
        </w:tc>
      </w:tr>
      <w:tr w:rsidR="00546122">
        <w:trPr>
          <w:trHeight w:val="349"/>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年度工作计划明确性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部门（单位）依据年度工作计划所设定的目标方向是否清晰、细化、可衡量。指标用以反映和考核部门（单位）中长期发展规划的明细化情况。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是否将年度工作计划细化分解为具体的工作任务。较为具体得</w:t>
            </w:r>
            <w:r>
              <w:rPr>
                <w:color w:val="000000"/>
                <w:kern w:val="0"/>
                <w:sz w:val="21"/>
                <w:szCs w:val="21"/>
              </w:rPr>
              <w:t>1</w:t>
            </w:r>
            <w:r>
              <w:rPr>
                <w:color w:val="000000"/>
                <w:kern w:val="0"/>
                <w:sz w:val="21"/>
                <w:szCs w:val="21"/>
              </w:rPr>
              <w:t>分，具体化程度不高得</w:t>
            </w:r>
            <w:r>
              <w:rPr>
                <w:color w:val="000000"/>
                <w:kern w:val="0"/>
                <w:sz w:val="21"/>
                <w:szCs w:val="21"/>
              </w:rPr>
              <w:t>0.5</w:t>
            </w:r>
            <w:r>
              <w:rPr>
                <w:color w:val="000000"/>
                <w:kern w:val="0"/>
                <w:sz w:val="21"/>
                <w:szCs w:val="21"/>
              </w:rPr>
              <w:t>分，未予具体化不得分；</w:t>
            </w:r>
            <w:r>
              <w:rPr>
                <w:color w:val="000000"/>
                <w:kern w:val="0"/>
                <w:sz w:val="21"/>
                <w:szCs w:val="21"/>
              </w:rPr>
              <w:t>②</w:t>
            </w:r>
            <w:r>
              <w:rPr>
                <w:color w:val="000000"/>
                <w:kern w:val="0"/>
                <w:sz w:val="21"/>
                <w:szCs w:val="21"/>
              </w:rPr>
              <w:t>是否通过清晰、可衡量的指标值予以体现。较为清晰、可衡量的得</w:t>
            </w:r>
            <w:r>
              <w:rPr>
                <w:color w:val="000000"/>
                <w:kern w:val="0"/>
                <w:sz w:val="21"/>
                <w:szCs w:val="21"/>
              </w:rPr>
              <w:t>1</w:t>
            </w:r>
            <w:r>
              <w:rPr>
                <w:color w:val="000000"/>
                <w:kern w:val="0"/>
                <w:sz w:val="21"/>
                <w:szCs w:val="21"/>
              </w:rPr>
              <w:t>分，指标欠清晰得</w:t>
            </w:r>
            <w:r>
              <w:rPr>
                <w:color w:val="000000"/>
                <w:kern w:val="0"/>
                <w:sz w:val="21"/>
                <w:szCs w:val="21"/>
              </w:rPr>
              <w:t>0.5</w:t>
            </w:r>
            <w:r>
              <w:rPr>
                <w:color w:val="000000"/>
                <w:kern w:val="0"/>
                <w:sz w:val="21"/>
                <w:szCs w:val="21"/>
              </w:rPr>
              <w:t>分，未设置明确、可衡量的指标不得分。以上项分别评分，</w:t>
            </w:r>
            <w:r>
              <w:rPr>
                <w:color w:val="000000"/>
                <w:kern w:val="0"/>
                <w:sz w:val="21"/>
                <w:szCs w:val="21"/>
              </w:rPr>
              <w:lastRenderedPageBreak/>
              <w:t>累计最高得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单位根据部门实际情况制定了</w:t>
            </w:r>
            <w:r>
              <w:rPr>
                <w:rFonts w:hint="eastAsia"/>
                <w:color w:val="000000"/>
                <w:kern w:val="0"/>
                <w:sz w:val="21"/>
                <w:szCs w:val="21"/>
              </w:rPr>
              <w:t>2024</w:t>
            </w:r>
            <w:r>
              <w:rPr>
                <w:color w:val="000000"/>
                <w:kern w:val="0"/>
                <w:sz w:val="21"/>
                <w:szCs w:val="21"/>
              </w:rPr>
              <w:t>年度工作计划，且将</w:t>
            </w:r>
            <w:r>
              <w:rPr>
                <w:rFonts w:hint="eastAsia"/>
                <w:color w:val="000000"/>
                <w:kern w:val="0"/>
                <w:sz w:val="21"/>
                <w:szCs w:val="21"/>
              </w:rPr>
              <w:t>2024</w:t>
            </w:r>
            <w:r>
              <w:rPr>
                <w:color w:val="000000"/>
                <w:kern w:val="0"/>
                <w:sz w:val="21"/>
                <w:szCs w:val="21"/>
              </w:rPr>
              <w:t>年工作任务细分化解的各个点，但是定性</w:t>
            </w:r>
            <w:r>
              <w:rPr>
                <w:rFonts w:hint="eastAsia"/>
                <w:color w:val="000000"/>
                <w:kern w:val="0"/>
                <w:sz w:val="21"/>
                <w:szCs w:val="21"/>
              </w:rPr>
              <w:t>目标</w:t>
            </w:r>
            <w:r>
              <w:rPr>
                <w:color w:val="000000"/>
                <w:kern w:val="0"/>
                <w:sz w:val="21"/>
                <w:szCs w:val="21"/>
              </w:rPr>
              <w:t>居多，缺定量目标。</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年度工作计划与部门职能的匹配性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用以考核和反映年度工作计划是否与部门职能相匹配，是否能充分发挥部门职能、功能定位。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单位执行的年度工作计划与部门职能相匹配。</w:t>
            </w:r>
          </w:p>
        </w:tc>
      </w:tr>
      <w:tr w:rsidR="00546122">
        <w:trPr>
          <w:trHeight w:val="210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部门预算编制</w:t>
            </w:r>
            <w:r>
              <w:rPr>
                <w:color w:val="000000"/>
                <w:kern w:val="0"/>
                <w:sz w:val="21"/>
                <w:szCs w:val="21"/>
              </w:rPr>
              <w:br/>
            </w:r>
            <w:r>
              <w:rPr>
                <w:color w:val="000000"/>
                <w:kern w:val="0"/>
                <w:sz w:val="21"/>
                <w:szCs w:val="21"/>
              </w:rPr>
              <w:t>（</w:t>
            </w:r>
            <w:r>
              <w:rPr>
                <w:color w:val="000000"/>
                <w:kern w:val="0"/>
                <w:sz w:val="21"/>
                <w:szCs w:val="21"/>
              </w:rPr>
              <w:t>3</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预算编制的科学规范</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项目预算编制是否经过科学论证、有明确标准，资金额度与年度目标是否相适应，用以反映和考核项目预算编制的科学性、合理性情况。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预算编制的科学性：预算编制是否经过科学论证、资金分配是否合理；</w:t>
            </w:r>
            <w:r>
              <w:rPr>
                <w:color w:val="000000"/>
                <w:kern w:val="0"/>
                <w:sz w:val="21"/>
                <w:szCs w:val="21"/>
              </w:rPr>
              <w:t>②</w:t>
            </w:r>
            <w:r>
              <w:rPr>
                <w:color w:val="000000"/>
                <w:kern w:val="0"/>
                <w:sz w:val="21"/>
                <w:szCs w:val="21"/>
              </w:rPr>
              <w:t>预算编制的规范性：是否按照标准编制、编制执行流程是否规范。以上两项各占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单位按照要求编制</w:t>
            </w:r>
            <w:r>
              <w:rPr>
                <w:rFonts w:hint="eastAsia"/>
                <w:color w:val="000000"/>
                <w:kern w:val="0"/>
                <w:sz w:val="21"/>
                <w:szCs w:val="21"/>
              </w:rPr>
              <w:t>2024</w:t>
            </w:r>
            <w:r>
              <w:rPr>
                <w:color w:val="000000"/>
                <w:kern w:val="0"/>
                <w:sz w:val="21"/>
                <w:szCs w:val="21"/>
              </w:rPr>
              <w:t>年度预算，并履行审核审批程序上报。</w:t>
            </w:r>
          </w:p>
        </w:tc>
      </w:tr>
      <w:tr w:rsidR="00546122">
        <w:trPr>
          <w:trHeight w:val="150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预算编制与重点工作任务的匹配性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用以考核和反映中预算编制是否与本年度重点工作计划相匹配。</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完全对应、匹配的得</w:t>
            </w:r>
            <w:r>
              <w:rPr>
                <w:color w:val="000000"/>
                <w:kern w:val="0"/>
                <w:sz w:val="21"/>
                <w:szCs w:val="21"/>
              </w:rPr>
              <w:t>1</w:t>
            </w:r>
            <w:r>
              <w:rPr>
                <w:color w:val="000000"/>
                <w:kern w:val="0"/>
                <w:sz w:val="21"/>
                <w:szCs w:val="21"/>
              </w:rPr>
              <w:t>分，基本上对应、匹配的得</w:t>
            </w:r>
            <w:r>
              <w:rPr>
                <w:color w:val="000000"/>
                <w:kern w:val="0"/>
                <w:sz w:val="21"/>
                <w:szCs w:val="21"/>
              </w:rPr>
              <w:t>0.5</w:t>
            </w:r>
            <w:r>
              <w:rPr>
                <w:color w:val="000000"/>
                <w:kern w:val="0"/>
                <w:sz w:val="21"/>
                <w:szCs w:val="21"/>
              </w:rPr>
              <w:t>分，不对应、不匹配的不得分。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单位预算编制符合部门实际需求。</w:t>
            </w:r>
          </w:p>
        </w:tc>
      </w:tr>
      <w:tr w:rsidR="00546122">
        <w:trPr>
          <w:trHeight w:val="2201"/>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部门管理（</w:t>
            </w:r>
            <w:r>
              <w:rPr>
                <w:color w:val="000000"/>
                <w:kern w:val="0"/>
                <w:sz w:val="21"/>
                <w:szCs w:val="21"/>
              </w:rPr>
              <w:t>25</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预算执行</w:t>
            </w:r>
            <w:r>
              <w:rPr>
                <w:color w:val="000000"/>
                <w:kern w:val="0"/>
                <w:sz w:val="21"/>
                <w:szCs w:val="21"/>
              </w:rPr>
              <w:br/>
            </w:r>
            <w:r>
              <w:rPr>
                <w:color w:val="000000"/>
                <w:kern w:val="0"/>
                <w:sz w:val="21"/>
                <w:szCs w:val="21"/>
              </w:rPr>
              <w:t>（</w:t>
            </w:r>
            <w:r>
              <w:rPr>
                <w:color w:val="000000"/>
                <w:kern w:val="0"/>
                <w:sz w:val="21"/>
                <w:szCs w:val="21"/>
              </w:rPr>
              <w:t>9</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部门预算执行率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预算执行率</w:t>
            </w:r>
            <w:r>
              <w:rPr>
                <w:color w:val="000000"/>
                <w:kern w:val="0"/>
                <w:sz w:val="21"/>
                <w:szCs w:val="21"/>
              </w:rPr>
              <w:t>=</w:t>
            </w:r>
            <w:r>
              <w:rPr>
                <w:color w:val="000000"/>
                <w:kern w:val="0"/>
                <w:sz w:val="21"/>
                <w:szCs w:val="21"/>
              </w:rPr>
              <w:t>（实际支出资金</w:t>
            </w:r>
            <w:r>
              <w:rPr>
                <w:color w:val="000000"/>
                <w:kern w:val="0"/>
                <w:sz w:val="21"/>
                <w:szCs w:val="21"/>
              </w:rPr>
              <w:t>÷</w:t>
            </w:r>
            <w:r>
              <w:rPr>
                <w:color w:val="000000"/>
                <w:kern w:val="0"/>
                <w:sz w:val="21"/>
                <w:szCs w:val="21"/>
              </w:rPr>
              <w:t>实际到位资金）</w:t>
            </w:r>
            <w:r>
              <w:rPr>
                <w:color w:val="000000"/>
                <w:kern w:val="0"/>
                <w:sz w:val="21"/>
                <w:szCs w:val="21"/>
              </w:rPr>
              <w:t>×100%</w:t>
            </w:r>
            <w:r>
              <w:rPr>
                <w:color w:val="000000"/>
                <w:kern w:val="0"/>
                <w:sz w:val="21"/>
                <w:szCs w:val="21"/>
              </w:rPr>
              <w:t>。实际支出资金：部门（单位）本年度实际支出的金额。实际到位资金：本年度内项目实际拨付的资金。用以反映和考核部门（单位）预算完成程度。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预算执行率在</w:t>
            </w:r>
            <w:r>
              <w:rPr>
                <w:color w:val="000000"/>
                <w:kern w:val="0"/>
                <w:sz w:val="21"/>
                <w:szCs w:val="21"/>
              </w:rPr>
              <w:t>95%</w:t>
            </w:r>
            <w:r>
              <w:rPr>
                <w:color w:val="000000"/>
                <w:kern w:val="0"/>
                <w:sz w:val="21"/>
                <w:szCs w:val="21"/>
              </w:rPr>
              <w:t>及以上得</w:t>
            </w:r>
            <w:r>
              <w:rPr>
                <w:color w:val="000000"/>
                <w:kern w:val="0"/>
                <w:sz w:val="21"/>
                <w:szCs w:val="21"/>
              </w:rPr>
              <w:t>2</w:t>
            </w:r>
            <w:r>
              <w:rPr>
                <w:color w:val="000000"/>
                <w:kern w:val="0"/>
                <w:sz w:val="21"/>
                <w:szCs w:val="21"/>
              </w:rPr>
              <w:t>分，</w:t>
            </w:r>
            <w:r>
              <w:rPr>
                <w:color w:val="000000"/>
                <w:kern w:val="0"/>
                <w:sz w:val="21"/>
                <w:szCs w:val="21"/>
              </w:rPr>
              <w:t>90%</w:t>
            </w:r>
            <w:r>
              <w:rPr>
                <w:color w:val="000000"/>
                <w:kern w:val="0"/>
                <w:sz w:val="21"/>
                <w:szCs w:val="21"/>
              </w:rPr>
              <w:t>（含）</w:t>
            </w:r>
            <w:r>
              <w:rPr>
                <w:color w:val="000000"/>
                <w:kern w:val="0"/>
                <w:sz w:val="21"/>
                <w:szCs w:val="21"/>
              </w:rPr>
              <w:t>-95%</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,90%</w:t>
            </w:r>
            <w:r>
              <w:rPr>
                <w:color w:val="000000"/>
                <w:kern w:val="0"/>
                <w:sz w:val="21"/>
                <w:szCs w:val="21"/>
              </w:rPr>
              <w:t>以下不得分。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kern w:val="0"/>
                <w:sz w:val="21"/>
                <w:szCs w:val="21"/>
              </w:rPr>
              <w:t>预算执行率</w:t>
            </w:r>
            <w:r>
              <w:rPr>
                <w:kern w:val="0"/>
                <w:sz w:val="21"/>
                <w:szCs w:val="21"/>
              </w:rPr>
              <w:t>=</w:t>
            </w:r>
            <w:r>
              <w:rPr>
                <w:rFonts w:hint="eastAsia"/>
                <w:kern w:val="0"/>
                <w:sz w:val="21"/>
                <w:szCs w:val="21"/>
              </w:rPr>
              <w:t>1041</w:t>
            </w:r>
            <w:r>
              <w:rPr>
                <w:kern w:val="0"/>
                <w:sz w:val="21"/>
                <w:szCs w:val="21"/>
              </w:rPr>
              <w:t>.</w:t>
            </w:r>
            <w:r>
              <w:rPr>
                <w:rFonts w:hint="eastAsia"/>
                <w:kern w:val="0"/>
                <w:sz w:val="21"/>
                <w:szCs w:val="21"/>
              </w:rPr>
              <w:t>65</w:t>
            </w:r>
            <w:r>
              <w:rPr>
                <w:kern w:val="0"/>
                <w:sz w:val="21"/>
                <w:szCs w:val="21"/>
              </w:rPr>
              <w:t>/</w:t>
            </w:r>
            <w:r>
              <w:rPr>
                <w:rFonts w:hint="eastAsia"/>
                <w:kern w:val="0"/>
                <w:sz w:val="21"/>
                <w:szCs w:val="21"/>
              </w:rPr>
              <w:t>1244.46</w:t>
            </w:r>
            <w:r>
              <w:rPr>
                <w:kern w:val="0"/>
                <w:sz w:val="21"/>
                <w:szCs w:val="21"/>
              </w:rPr>
              <w:t>=</w:t>
            </w:r>
            <w:r>
              <w:rPr>
                <w:rFonts w:hint="eastAsia"/>
                <w:kern w:val="0"/>
                <w:sz w:val="21"/>
                <w:szCs w:val="21"/>
              </w:rPr>
              <w:t>84</w:t>
            </w:r>
            <w:r>
              <w:rPr>
                <w:kern w:val="0"/>
                <w:sz w:val="21"/>
                <w:szCs w:val="21"/>
              </w:rPr>
              <w:t>%</w:t>
            </w:r>
            <w:r>
              <w:rPr>
                <w:kern w:val="0"/>
                <w:sz w:val="21"/>
                <w:szCs w:val="21"/>
              </w:rPr>
              <w:t>，</w:t>
            </w:r>
            <w:r>
              <w:rPr>
                <w:rFonts w:hint="eastAsia"/>
                <w:kern w:val="0"/>
                <w:sz w:val="21"/>
                <w:szCs w:val="21"/>
              </w:rPr>
              <w:t>不得</w:t>
            </w:r>
            <w:r>
              <w:rPr>
                <w:kern w:val="0"/>
                <w:sz w:val="21"/>
                <w:szCs w:val="21"/>
              </w:rPr>
              <w:t>分</w:t>
            </w:r>
          </w:p>
        </w:tc>
      </w:tr>
      <w:tr w:rsidR="00546122">
        <w:trPr>
          <w:trHeight w:val="220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部门预算调整率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预算调整率</w:t>
            </w:r>
            <w:r>
              <w:rPr>
                <w:color w:val="000000"/>
                <w:kern w:val="0"/>
                <w:sz w:val="21"/>
                <w:szCs w:val="21"/>
              </w:rPr>
              <w:t>=</w:t>
            </w:r>
            <w:r>
              <w:rPr>
                <w:color w:val="000000"/>
                <w:kern w:val="0"/>
                <w:sz w:val="21"/>
                <w:szCs w:val="21"/>
              </w:rPr>
              <w:t>（预算调整数</w:t>
            </w:r>
            <w:r>
              <w:rPr>
                <w:color w:val="000000"/>
                <w:kern w:val="0"/>
                <w:sz w:val="21"/>
                <w:szCs w:val="21"/>
              </w:rPr>
              <w:t>÷</w:t>
            </w:r>
            <w:r>
              <w:rPr>
                <w:color w:val="000000"/>
                <w:kern w:val="0"/>
                <w:sz w:val="21"/>
                <w:szCs w:val="21"/>
              </w:rPr>
              <w:t>预算数）</w:t>
            </w:r>
            <w:r>
              <w:rPr>
                <w:color w:val="000000"/>
                <w:kern w:val="0"/>
                <w:sz w:val="21"/>
                <w:szCs w:val="21"/>
              </w:rPr>
              <w:t>×100%</w:t>
            </w:r>
            <w:r>
              <w:rPr>
                <w:color w:val="000000"/>
                <w:kern w:val="0"/>
                <w:sz w:val="21"/>
                <w:szCs w:val="21"/>
              </w:rPr>
              <w:t>。预算调整数：部门（单位）在本年度内涉及预算的追加、追减或结构调整的资金总和。用以反映和考核部门（单位）预算的调整程度。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预算调整率在</w:t>
            </w:r>
            <w:r>
              <w:rPr>
                <w:color w:val="000000"/>
                <w:kern w:val="0"/>
                <w:sz w:val="21"/>
                <w:szCs w:val="21"/>
              </w:rPr>
              <w:t>0—5%</w:t>
            </w:r>
            <w:r>
              <w:rPr>
                <w:color w:val="000000"/>
                <w:kern w:val="0"/>
                <w:sz w:val="21"/>
                <w:szCs w:val="21"/>
              </w:rPr>
              <w:t>（含）之间得</w:t>
            </w:r>
            <w:r>
              <w:rPr>
                <w:color w:val="000000"/>
                <w:kern w:val="0"/>
                <w:sz w:val="21"/>
                <w:szCs w:val="21"/>
              </w:rPr>
              <w:t>1</w:t>
            </w:r>
            <w:r>
              <w:rPr>
                <w:color w:val="000000"/>
                <w:kern w:val="0"/>
                <w:sz w:val="21"/>
                <w:szCs w:val="21"/>
              </w:rPr>
              <w:t>分，</w:t>
            </w:r>
            <w:r>
              <w:rPr>
                <w:color w:val="000000"/>
                <w:kern w:val="0"/>
                <w:sz w:val="21"/>
                <w:szCs w:val="21"/>
              </w:rPr>
              <w:t>5%-10%</w:t>
            </w:r>
            <w:r>
              <w:rPr>
                <w:color w:val="000000"/>
                <w:kern w:val="0"/>
                <w:sz w:val="21"/>
                <w:szCs w:val="21"/>
              </w:rPr>
              <w:t>（含）之间得</w:t>
            </w:r>
            <w:r>
              <w:rPr>
                <w:color w:val="000000"/>
                <w:kern w:val="0"/>
                <w:sz w:val="21"/>
                <w:szCs w:val="21"/>
              </w:rPr>
              <w:t>0.5</w:t>
            </w:r>
            <w:r>
              <w:rPr>
                <w:color w:val="000000"/>
                <w:kern w:val="0"/>
                <w:sz w:val="21"/>
                <w:szCs w:val="21"/>
              </w:rPr>
              <w:t>分，超过</w:t>
            </w:r>
            <w:r>
              <w:rPr>
                <w:color w:val="000000"/>
                <w:kern w:val="0"/>
                <w:sz w:val="21"/>
                <w:szCs w:val="21"/>
              </w:rPr>
              <w:t>10%</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0.5</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rFonts w:hint="eastAsia"/>
                <w:kern w:val="0"/>
                <w:sz w:val="21"/>
                <w:szCs w:val="21"/>
              </w:rPr>
              <w:t>2024</w:t>
            </w:r>
            <w:r>
              <w:rPr>
                <w:kern w:val="0"/>
                <w:sz w:val="21"/>
                <w:szCs w:val="21"/>
              </w:rPr>
              <w:t>年度预算调整数为</w:t>
            </w:r>
            <w:r>
              <w:rPr>
                <w:rFonts w:hint="eastAsia"/>
                <w:kern w:val="0"/>
                <w:sz w:val="21"/>
                <w:szCs w:val="21"/>
              </w:rPr>
              <w:t>89.15</w:t>
            </w:r>
            <w:r>
              <w:rPr>
                <w:kern w:val="0"/>
                <w:sz w:val="21"/>
                <w:szCs w:val="21"/>
              </w:rPr>
              <w:t>万元预算调整率</w:t>
            </w:r>
            <w:r>
              <w:rPr>
                <w:kern w:val="0"/>
                <w:sz w:val="21"/>
                <w:szCs w:val="21"/>
              </w:rPr>
              <w:t>=</w:t>
            </w:r>
            <w:r>
              <w:rPr>
                <w:rFonts w:hint="eastAsia"/>
                <w:kern w:val="0"/>
                <w:sz w:val="21"/>
                <w:szCs w:val="21"/>
              </w:rPr>
              <w:t>89.15</w:t>
            </w:r>
            <w:r>
              <w:rPr>
                <w:kern w:val="0"/>
                <w:sz w:val="21"/>
                <w:szCs w:val="21"/>
              </w:rPr>
              <w:t>/1</w:t>
            </w:r>
            <w:r>
              <w:rPr>
                <w:rFonts w:hint="eastAsia"/>
                <w:kern w:val="0"/>
                <w:sz w:val="21"/>
                <w:szCs w:val="21"/>
              </w:rPr>
              <w:t>155</w:t>
            </w:r>
            <w:r>
              <w:rPr>
                <w:kern w:val="0"/>
                <w:sz w:val="21"/>
                <w:szCs w:val="21"/>
              </w:rPr>
              <w:t>.</w:t>
            </w:r>
            <w:r>
              <w:rPr>
                <w:rFonts w:hint="eastAsia"/>
                <w:kern w:val="0"/>
                <w:sz w:val="21"/>
                <w:szCs w:val="21"/>
              </w:rPr>
              <w:t>31</w:t>
            </w:r>
            <w:r>
              <w:rPr>
                <w:kern w:val="0"/>
                <w:sz w:val="21"/>
                <w:szCs w:val="21"/>
              </w:rPr>
              <w:t>×100%=</w:t>
            </w:r>
            <w:r>
              <w:rPr>
                <w:rFonts w:hint="eastAsia"/>
                <w:kern w:val="0"/>
                <w:sz w:val="21"/>
                <w:szCs w:val="21"/>
              </w:rPr>
              <w:t>7</w:t>
            </w:r>
            <w:r>
              <w:rPr>
                <w:kern w:val="0"/>
                <w:sz w:val="21"/>
                <w:szCs w:val="21"/>
              </w:rPr>
              <w:t>%</w:t>
            </w:r>
            <w:r>
              <w:rPr>
                <w:kern w:val="0"/>
                <w:sz w:val="21"/>
                <w:szCs w:val="21"/>
              </w:rPr>
              <w:t>，</w:t>
            </w:r>
            <w:r>
              <w:rPr>
                <w:rFonts w:hint="eastAsia"/>
                <w:kern w:val="0"/>
                <w:sz w:val="21"/>
                <w:szCs w:val="21"/>
              </w:rPr>
              <w:t>不得</w:t>
            </w:r>
            <w:r>
              <w:rPr>
                <w:kern w:val="0"/>
                <w:sz w:val="21"/>
                <w:szCs w:val="21"/>
              </w:rPr>
              <w:t>分。</w:t>
            </w:r>
          </w:p>
        </w:tc>
      </w:tr>
      <w:tr w:rsidR="00546122">
        <w:trPr>
          <w:trHeight w:val="1659"/>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项目资金执行率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项目资金执行率</w:t>
            </w:r>
            <w:r>
              <w:rPr>
                <w:color w:val="000000"/>
                <w:kern w:val="0"/>
                <w:sz w:val="21"/>
                <w:szCs w:val="21"/>
              </w:rPr>
              <w:t>=</w:t>
            </w:r>
            <w:r>
              <w:rPr>
                <w:color w:val="000000"/>
                <w:kern w:val="0"/>
                <w:sz w:val="21"/>
                <w:szCs w:val="21"/>
              </w:rPr>
              <w:t>（项目实际支出金额</w:t>
            </w:r>
            <w:r>
              <w:rPr>
                <w:color w:val="000000"/>
                <w:kern w:val="0"/>
                <w:sz w:val="21"/>
                <w:szCs w:val="21"/>
              </w:rPr>
              <w:t>÷</w:t>
            </w:r>
            <w:r>
              <w:rPr>
                <w:color w:val="000000"/>
                <w:kern w:val="0"/>
                <w:sz w:val="21"/>
                <w:szCs w:val="21"/>
              </w:rPr>
              <w:t>项目预算到位资金）</w:t>
            </w:r>
            <w:r>
              <w:rPr>
                <w:color w:val="000000"/>
                <w:kern w:val="0"/>
                <w:sz w:val="21"/>
                <w:szCs w:val="21"/>
              </w:rPr>
              <w:t>×100%</w:t>
            </w:r>
            <w:r>
              <w:rPr>
                <w:color w:val="000000"/>
                <w:kern w:val="0"/>
                <w:sz w:val="21"/>
                <w:szCs w:val="21"/>
              </w:rPr>
              <w:t>。用以反映项目资金的执行情况。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项目资金执行率在</w:t>
            </w:r>
            <w:r>
              <w:rPr>
                <w:color w:val="000000"/>
                <w:kern w:val="0"/>
                <w:sz w:val="21"/>
                <w:szCs w:val="21"/>
              </w:rPr>
              <w:t>90%</w:t>
            </w:r>
            <w:r>
              <w:rPr>
                <w:color w:val="000000"/>
                <w:kern w:val="0"/>
                <w:sz w:val="21"/>
                <w:szCs w:val="21"/>
              </w:rPr>
              <w:t>及以上得</w:t>
            </w:r>
            <w:r>
              <w:rPr>
                <w:color w:val="000000"/>
                <w:kern w:val="0"/>
                <w:sz w:val="21"/>
                <w:szCs w:val="21"/>
              </w:rPr>
              <w:t>2</w:t>
            </w:r>
            <w:r>
              <w:rPr>
                <w:color w:val="000000"/>
                <w:kern w:val="0"/>
                <w:sz w:val="21"/>
                <w:szCs w:val="21"/>
              </w:rPr>
              <w:t>分，</w:t>
            </w:r>
            <w:r>
              <w:rPr>
                <w:color w:val="000000"/>
                <w:kern w:val="0"/>
                <w:sz w:val="21"/>
                <w:szCs w:val="21"/>
              </w:rPr>
              <w:t>85%</w:t>
            </w:r>
            <w:r>
              <w:rPr>
                <w:color w:val="000000"/>
                <w:kern w:val="0"/>
                <w:sz w:val="21"/>
                <w:szCs w:val="21"/>
              </w:rPr>
              <w:t>（含）</w:t>
            </w:r>
            <w:r>
              <w:rPr>
                <w:color w:val="000000"/>
                <w:kern w:val="0"/>
                <w:sz w:val="21"/>
                <w:szCs w:val="21"/>
              </w:rPr>
              <w:t>-90%</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w:t>
            </w:r>
            <w:r>
              <w:rPr>
                <w:color w:val="000000"/>
                <w:kern w:val="0"/>
                <w:sz w:val="21"/>
                <w:szCs w:val="21"/>
              </w:rPr>
              <w:t>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kern w:val="0"/>
                <w:sz w:val="21"/>
                <w:szCs w:val="21"/>
              </w:rPr>
            </w:pPr>
            <w:r>
              <w:rPr>
                <w:rFonts w:hint="eastAsia"/>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kern w:val="0"/>
                <w:sz w:val="21"/>
                <w:szCs w:val="21"/>
              </w:rPr>
            </w:pPr>
            <w:r>
              <w:rPr>
                <w:kern w:val="0"/>
                <w:sz w:val="21"/>
                <w:szCs w:val="21"/>
              </w:rPr>
              <w:t>项目资金执行率</w:t>
            </w:r>
            <w:r>
              <w:rPr>
                <w:kern w:val="0"/>
                <w:sz w:val="21"/>
                <w:szCs w:val="21"/>
              </w:rPr>
              <w:t>=</w:t>
            </w:r>
            <w:r>
              <w:rPr>
                <w:rFonts w:hint="eastAsia"/>
                <w:kern w:val="0"/>
                <w:sz w:val="21"/>
                <w:szCs w:val="21"/>
              </w:rPr>
              <w:t>163</w:t>
            </w:r>
            <w:r>
              <w:rPr>
                <w:rFonts w:hint="eastAsia"/>
                <w:kern w:val="0"/>
                <w:sz w:val="21"/>
                <w:szCs w:val="21"/>
              </w:rPr>
              <w:t>.</w:t>
            </w:r>
            <w:r>
              <w:rPr>
                <w:rFonts w:hint="eastAsia"/>
                <w:kern w:val="0"/>
                <w:sz w:val="21"/>
                <w:szCs w:val="21"/>
              </w:rPr>
              <w:t>42</w:t>
            </w:r>
            <w:r>
              <w:rPr>
                <w:kern w:val="0"/>
                <w:sz w:val="21"/>
                <w:szCs w:val="21"/>
              </w:rPr>
              <w:t>/</w:t>
            </w:r>
            <w:r>
              <w:rPr>
                <w:rFonts w:hint="eastAsia"/>
                <w:kern w:val="0"/>
                <w:sz w:val="21"/>
                <w:szCs w:val="21"/>
              </w:rPr>
              <w:t>324</w:t>
            </w:r>
            <w:r>
              <w:rPr>
                <w:kern w:val="0"/>
                <w:sz w:val="21"/>
                <w:szCs w:val="21"/>
              </w:rPr>
              <w:t>×100%=</w:t>
            </w:r>
            <w:r>
              <w:rPr>
                <w:rFonts w:hint="eastAsia"/>
                <w:kern w:val="0"/>
                <w:sz w:val="21"/>
                <w:szCs w:val="21"/>
              </w:rPr>
              <w:t>51</w:t>
            </w:r>
            <w:r>
              <w:rPr>
                <w:kern w:val="0"/>
                <w:sz w:val="21"/>
                <w:szCs w:val="21"/>
              </w:rPr>
              <w:t>%</w:t>
            </w:r>
            <w:r>
              <w:rPr>
                <w:kern w:val="0"/>
                <w:sz w:val="21"/>
                <w:szCs w:val="21"/>
              </w:rPr>
              <w:t>，</w:t>
            </w:r>
            <w:r>
              <w:rPr>
                <w:rFonts w:hint="eastAsia"/>
                <w:kern w:val="0"/>
                <w:sz w:val="21"/>
                <w:szCs w:val="21"/>
              </w:rPr>
              <w:t>不得分</w:t>
            </w:r>
            <w:r>
              <w:rPr>
                <w:kern w:val="0"/>
                <w:sz w:val="21"/>
                <w:szCs w:val="21"/>
              </w:rPr>
              <w:t>。</w:t>
            </w:r>
          </w:p>
        </w:tc>
      </w:tr>
      <w:tr w:rsidR="00546122">
        <w:trPr>
          <w:trHeight w:val="166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结转结余率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结转结余率</w:t>
            </w:r>
            <w:r>
              <w:rPr>
                <w:color w:val="000000"/>
                <w:kern w:val="0"/>
                <w:sz w:val="21"/>
                <w:szCs w:val="21"/>
              </w:rPr>
              <w:t>=</w:t>
            </w:r>
            <w:r>
              <w:rPr>
                <w:color w:val="000000"/>
                <w:kern w:val="0"/>
                <w:sz w:val="21"/>
                <w:szCs w:val="21"/>
              </w:rPr>
              <w:t>（决算结转结余总额</w:t>
            </w:r>
            <w:r>
              <w:rPr>
                <w:color w:val="000000"/>
                <w:kern w:val="0"/>
                <w:sz w:val="21"/>
                <w:szCs w:val="21"/>
              </w:rPr>
              <w:t>÷</w:t>
            </w:r>
            <w:r>
              <w:rPr>
                <w:color w:val="000000"/>
                <w:kern w:val="0"/>
                <w:sz w:val="21"/>
                <w:szCs w:val="21"/>
              </w:rPr>
              <w:t>支出预算数）</w:t>
            </w:r>
            <w:r>
              <w:rPr>
                <w:color w:val="000000"/>
                <w:kern w:val="0"/>
                <w:sz w:val="21"/>
                <w:szCs w:val="21"/>
              </w:rPr>
              <w:t>×100%</w:t>
            </w:r>
            <w:r>
              <w:rPr>
                <w:color w:val="000000"/>
                <w:kern w:val="0"/>
                <w:sz w:val="21"/>
                <w:szCs w:val="21"/>
              </w:rPr>
              <w:t>。指标用以反映和考核部门（单位）对本年度结转结余资金的实际控制程度。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结转结余率</w:t>
            </w:r>
            <w:r>
              <w:rPr>
                <w:color w:val="000000"/>
                <w:kern w:val="0"/>
                <w:sz w:val="21"/>
                <w:szCs w:val="21"/>
              </w:rPr>
              <w:t xml:space="preserve">= </w:t>
            </w:r>
            <w:r>
              <w:rPr>
                <w:color w:val="000000"/>
                <w:kern w:val="0"/>
                <w:sz w:val="21"/>
                <w:szCs w:val="21"/>
              </w:rPr>
              <w:t>0%</w:t>
            </w:r>
            <w:r>
              <w:rPr>
                <w:color w:val="000000"/>
                <w:kern w:val="0"/>
                <w:sz w:val="21"/>
                <w:szCs w:val="21"/>
              </w:rPr>
              <w:t>得</w:t>
            </w:r>
            <w:r>
              <w:rPr>
                <w:color w:val="000000"/>
                <w:kern w:val="0"/>
                <w:sz w:val="21"/>
                <w:szCs w:val="21"/>
              </w:rPr>
              <w:t>1</w:t>
            </w:r>
            <w:r>
              <w:rPr>
                <w:color w:val="000000"/>
                <w:kern w:val="0"/>
                <w:sz w:val="21"/>
                <w:szCs w:val="21"/>
              </w:rPr>
              <w:t>分，在</w:t>
            </w:r>
            <w:r>
              <w:rPr>
                <w:color w:val="000000"/>
                <w:kern w:val="0"/>
                <w:sz w:val="21"/>
                <w:szCs w:val="21"/>
              </w:rPr>
              <w:t>0%—5%</w:t>
            </w:r>
            <w:r>
              <w:rPr>
                <w:color w:val="000000"/>
                <w:kern w:val="0"/>
                <w:sz w:val="21"/>
                <w:szCs w:val="21"/>
              </w:rPr>
              <w:t>（含）之间得</w:t>
            </w:r>
            <w:r>
              <w:rPr>
                <w:color w:val="000000"/>
                <w:kern w:val="0"/>
                <w:sz w:val="21"/>
                <w:szCs w:val="21"/>
              </w:rPr>
              <w:t>0.5</w:t>
            </w:r>
            <w:r>
              <w:rPr>
                <w:color w:val="000000"/>
                <w:kern w:val="0"/>
                <w:sz w:val="21"/>
                <w:szCs w:val="21"/>
              </w:rPr>
              <w:t>分，＞</w:t>
            </w:r>
            <w:r>
              <w:rPr>
                <w:color w:val="000000"/>
                <w:kern w:val="0"/>
                <w:sz w:val="21"/>
                <w:szCs w:val="21"/>
              </w:rPr>
              <w:t>5%</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bookmarkStart w:id="11" w:name="_Hlk48059757"/>
            <w:r>
              <w:rPr>
                <w:color w:val="000000" w:themeColor="text1"/>
                <w:kern w:val="0"/>
                <w:sz w:val="21"/>
                <w:szCs w:val="21"/>
              </w:rPr>
              <w:t>年末结转和结余</w:t>
            </w:r>
            <w:r>
              <w:rPr>
                <w:color w:val="000000" w:themeColor="text1"/>
                <w:kern w:val="0"/>
                <w:sz w:val="21"/>
                <w:szCs w:val="21"/>
              </w:rPr>
              <w:t>0.</w:t>
            </w:r>
            <w:r>
              <w:rPr>
                <w:rFonts w:hint="eastAsia"/>
                <w:color w:val="000000" w:themeColor="text1"/>
                <w:kern w:val="0"/>
                <w:sz w:val="21"/>
                <w:szCs w:val="21"/>
              </w:rPr>
              <w:t>14</w:t>
            </w:r>
            <w:r>
              <w:rPr>
                <w:color w:val="000000" w:themeColor="text1"/>
                <w:kern w:val="0"/>
                <w:sz w:val="21"/>
                <w:szCs w:val="21"/>
              </w:rPr>
              <w:t>万元，结转结余率</w:t>
            </w:r>
            <w:bookmarkEnd w:id="11"/>
            <w:r>
              <w:rPr>
                <w:color w:val="000000" w:themeColor="text1"/>
                <w:kern w:val="0"/>
                <w:sz w:val="21"/>
                <w:szCs w:val="21"/>
              </w:rPr>
              <w:t>接近于</w:t>
            </w:r>
            <w:r>
              <w:rPr>
                <w:color w:val="000000" w:themeColor="text1"/>
                <w:kern w:val="0"/>
                <w:sz w:val="21"/>
                <w:szCs w:val="21"/>
              </w:rPr>
              <w:t>0</w:t>
            </w:r>
          </w:p>
        </w:tc>
      </w:tr>
      <w:tr w:rsidR="00546122">
        <w:trPr>
          <w:trHeight w:val="1706"/>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公用经费控制率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反映和考察单位</w:t>
            </w:r>
            <w:r>
              <w:rPr>
                <w:rFonts w:hint="eastAsia"/>
                <w:color w:val="000000"/>
                <w:kern w:val="0"/>
                <w:sz w:val="21"/>
                <w:szCs w:val="21"/>
              </w:rPr>
              <w:t>2024</w:t>
            </w:r>
            <w:r>
              <w:rPr>
                <w:color w:val="000000"/>
                <w:kern w:val="0"/>
                <w:sz w:val="21"/>
                <w:szCs w:val="21"/>
              </w:rPr>
              <w:t>年公用经费控制情况。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公用经费支出未超预算得满分，超预算不得分。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r>
              <w:rPr>
                <w:rFonts w:hint="eastAsia"/>
                <w:color w:val="000000" w:themeColor="text1"/>
                <w:kern w:val="0"/>
                <w:sz w:val="21"/>
                <w:szCs w:val="21"/>
              </w:rPr>
              <w:t>2024</w:t>
            </w:r>
            <w:r>
              <w:rPr>
                <w:color w:val="000000" w:themeColor="text1"/>
                <w:kern w:val="0"/>
                <w:sz w:val="21"/>
                <w:szCs w:val="21"/>
              </w:rPr>
              <w:t>年单位公用经费共支出</w:t>
            </w:r>
            <w:r>
              <w:rPr>
                <w:rFonts w:hint="eastAsia"/>
                <w:color w:val="000000" w:themeColor="text1"/>
                <w:kern w:val="0"/>
                <w:sz w:val="21"/>
                <w:szCs w:val="21"/>
              </w:rPr>
              <w:t>48.94</w:t>
            </w:r>
            <w:r>
              <w:rPr>
                <w:color w:val="000000" w:themeColor="text1"/>
                <w:kern w:val="0"/>
                <w:sz w:val="21"/>
                <w:szCs w:val="21"/>
              </w:rPr>
              <w:t>万元，预算为</w:t>
            </w:r>
            <w:r>
              <w:rPr>
                <w:color w:val="000000" w:themeColor="text1"/>
                <w:kern w:val="0"/>
                <w:sz w:val="21"/>
                <w:szCs w:val="21"/>
              </w:rPr>
              <w:t>6</w:t>
            </w:r>
            <w:r>
              <w:rPr>
                <w:rFonts w:hint="eastAsia"/>
                <w:color w:val="000000" w:themeColor="text1"/>
                <w:kern w:val="0"/>
                <w:sz w:val="21"/>
                <w:szCs w:val="21"/>
              </w:rPr>
              <w:t>3.69</w:t>
            </w:r>
            <w:r>
              <w:rPr>
                <w:color w:val="000000" w:themeColor="text1"/>
                <w:kern w:val="0"/>
                <w:sz w:val="21"/>
                <w:szCs w:val="21"/>
              </w:rPr>
              <w:t>万元，因此</w:t>
            </w:r>
            <w:r>
              <w:rPr>
                <w:rFonts w:hint="eastAsia"/>
                <w:color w:val="000000" w:themeColor="text1"/>
                <w:kern w:val="0"/>
                <w:sz w:val="21"/>
                <w:szCs w:val="21"/>
              </w:rPr>
              <w:t>2024</w:t>
            </w:r>
            <w:r>
              <w:rPr>
                <w:color w:val="000000" w:themeColor="text1"/>
                <w:kern w:val="0"/>
                <w:sz w:val="21"/>
                <w:szCs w:val="21"/>
              </w:rPr>
              <w:t>年单位公用经费支出未超预算得满分。</w:t>
            </w:r>
          </w:p>
        </w:tc>
      </w:tr>
      <w:tr w:rsidR="00546122">
        <w:trPr>
          <w:trHeight w:val="84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三公经费控制率</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控制率</w:t>
            </w:r>
            <w:r>
              <w:rPr>
                <w:color w:val="000000"/>
                <w:kern w:val="0"/>
                <w:sz w:val="21"/>
                <w:szCs w:val="21"/>
              </w:rPr>
              <w:t>=</w:t>
            </w:r>
            <w:r>
              <w:rPr>
                <w:color w:val="000000"/>
                <w:kern w:val="0"/>
                <w:sz w:val="21"/>
                <w:szCs w:val="21"/>
              </w:rPr>
              <w:t>（</w:t>
            </w: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实际支出数</w:t>
            </w:r>
            <w:r>
              <w:rPr>
                <w:color w:val="000000"/>
                <w:kern w:val="0"/>
                <w:sz w:val="21"/>
                <w:szCs w:val="21"/>
              </w:rPr>
              <w:t>÷</w:t>
            </w:r>
            <w:r>
              <w:rPr>
                <w:color w:val="000000"/>
                <w:kern w:val="0"/>
                <w:sz w:val="21"/>
                <w:szCs w:val="21"/>
              </w:rPr>
              <w:t>三公经费预算安排数）</w:t>
            </w:r>
            <w:r>
              <w:rPr>
                <w:color w:val="000000"/>
                <w:kern w:val="0"/>
                <w:sz w:val="21"/>
                <w:szCs w:val="21"/>
              </w:rPr>
              <w:t>×100%</w:t>
            </w:r>
            <w:r>
              <w:rPr>
                <w:color w:val="000000"/>
                <w:kern w:val="0"/>
                <w:sz w:val="21"/>
                <w:szCs w:val="21"/>
              </w:rPr>
              <w:t>。指标用以反映和考核部门（单位）对</w:t>
            </w: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的实际控制程度。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w:t>
            </w:r>
            <w:r>
              <w:rPr>
                <w:color w:val="000000"/>
                <w:kern w:val="0"/>
                <w:sz w:val="21"/>
                <w:szCs w:val="21"/>
              </w:rPr>
              <w:t>三公经费</w:t>
            </w:r>
            <w:r>
              <w:rPr>
                <w:color w:val="000000"/>
                <w:kern w:val="0"/>
                <w:sz w:val="21"/>
                <w:szCs w:val="21"/>
              </w:rPr>
              <w:t>”</w:t>
            </w:r>
            <w:r>
              <w:rPr>
                <w:color w:val="000000"/>
                <w:kern w:val="0"/>
                <w:sz w:val="21"/>
                <w:szCs w:val="21"/>
              </w:rPr>
              <w:t>控制率</w:t>
            </w:r>
            <w:r>
              <w:rPr>
                <w:color w:val="000000"/>
                <w:kern w:val="0"/>
                <w:sz w:val="21"/>
                <w:szCs w:val="21"/>
              </w:rPr>
              <w:t>≤100%</w:t>
            </w:r>
            <w:r>
              <w:rPr>
                <w:color w:val="000000"/>
                <w:kern w:val="0"/>
                <w:sz w:val="21"/>
                <w:szCs w:val="21"/>
              </w:rPr>
              <w:t>，得</w:t>
            </w:r>
            <w:r>
              <w:rPr>
                <w:color w:val="000000"/>
                <w:kern w:val="0"/>
                <w:sz w:val="21"/>
                <w:szCs w:val="21"/>
              </w:rPr>
              <w:t>1</w:t>
            </w:r>
            <w:r>
              <w:rPr>
                <w:color w:val="000000"/>
                <w:kern w:val="0"/>
                <w:sz w:val="21"/>
                <w:szCs w:val="21"/>
              </w:rPr>
              <w:t>分，＞</w:t>
            </w:r>
            <w:r>
              <w:rPr>
                <w:color w:val="000000"/>
                <w:kern w:val="0"/>
                <w:sz w:val="21"/>
                <w:szCs w:val="21"/>
              </w:rPr>
              <w:t>100%</w:t>
            </w:r>
            <w:r>
              <w:rPr>
                <w:color w:val="000000"/>
                <w:kern w:val="0"/>
                <w:sz w:val="21"/>
                <w:szCs w:val="21"/>
              </w:rPr>
              <w:t>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themeColor="text1"/>
                <w:kern w:val="0"/>
                <w:sz w:val="21"/>
                <w:szCs w:val="21"/>
              </w:rPr>
            </w:pPr>
            <w:r>
              <w:rPr>
                <w:color w:val="000000" w:themeColor="text1"/>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themeColor="text1"/>
                <w:kern w:val="0"/>
                <w:sz w:val="21"/>
                <w:szCs w:val="21"/>
              </w:rPr>
            </w:pPr>
            <w:r>
              <w:rPr>
                <w:rFonts w:hint="eastAsia"/>
                <w:color w:val="000000" w:themeColor="text1"/>
                <w:kern w:val="0"/>
                <w:sz w:val="21"/>
                <w:szCs w:val="21"/>
              </w:rPr>
              <w:t>2024</w:t>
            </w:r>
            <w:r>
              <w:rPr>
                <w:color w:val="000000" w:themeColor="text1"/>
                <w:kern w:val="0"/>
                <w:sz w:val="21"/>
                <w:szCs w:val="21"/>
              </w:rPr>
              <w:t>年度三公经费总支出</w:t>
            </w:r>
            <w:r>
              <w:rPr>
                <w:rFonts w:hint="eastAsia"/>
                <w:color w:val="000000" w:themeColor="text1"/>
                <w:kern w:val="0"/>
                <w:sz w:val="21"/>
                <w:szCs w:val="21"/>
              </w:rPr>
              <w:t>18947.96</w:t>
            </w:r>
            <w:r>
              <w:rPr>
                <w:color w:val="000000" w:themeColor="text1"/>
                <w:kern w:val="0"/>
                <w:sz w:val="21"/>
                <w:szCs w:val="21"/>
              </w:rPr>
              <w:t>元，预算安排</w:t>
            </w:r>
            <w:r>
              <w:rPr>
                <w:rFonts w:hint="eastAsia"/>
                <w:color w:val="000000" w:themeColor="text1"/>
                <w:kern w:val="0"/>
                <w:sz w:val="21"/>
                <w:szCs w:val="21"/>
              </w:rPr>
              <w:t>39600</w:t>
            </w:r>
            <w:r>
              <w:rPr>
                <w:color w:val="000000" w:themeColor="text1"/>
                <w:kern w:val="0"/>
                <w:sz w:val="21"/>
                <w:szCs w:val="21"/>
              </w:rPr>
              <w:t>元。三公经费控制</w:t>
            </w:r>
            <w:r>
              <w:rPr>
                <w:color w:val="000000" w:themeColor="text1"/>
                <w:kern w:val="0"/>
                <w:sz w:val="21"/>
                <w:szCs w:val="21"/>
              </w:rPr>
              <w:t>=</w:t>
            </w:r>
            <w:r>
              <w:rPr>
                <w:rFonts w:hint="eastAsia"/>
                <w:color w:val="000000" w:themeColor="text1"/>
                <w:kern w:val="0"/>
                <w:sz w:val="21"/>
                <w:szCs w:val="21"/>
              </w:rPr>
              <w:t>18947.96</w:t>
            </w:r>
            <w:r>
              <w:rPr>
                <w:color w:val="000000" w:themeColor="text1"/>
                <w:kern w:val="0"/>
                <w:sz w:val="21"/>
                <w:szCs w:val="21"/>
              </w:rPr>
              <w:t>/</w:t>
            </w:r>
            <w:r>
              <w:rPr>
                <w:rFonts w:hint="eastAsia"/>
                <w:color w:val="000000" w:themeColor="text1"/>
                <w:kern w:val="0"/>
                <w:sz w:val="21"/>
                <w:szCs w:val="21"/>
              </w:rPr>
              <w:t>39600</w:t>
            </w:r>
            <w:r>
              <w:rPr>
                <w:color w:val="000000" w:themeColor="text1"/>
                <w:kern w:val="0"/>
                <w:sz w:val="21"/>
                <w:szCs w:val="21"/>
              </w:rPr>
              <w:t>×100%=</w:t>
            </w:r>
            <w:r>
              <w:rPr>
                <w:rFonts w:hint="eastAsia"/>
                <w:color w:val="000000" w:themeColor="text1"/>
                <w:kern w:val="0"/>
                <w:sz w:val="21"/>
                <w:szCs w:val="21"/>
              </w:rPr>
              <w:t>47</w:t>
            </w:r>
            <w:r>
              <w:rPr>
                <w:color w:val="000000" w:themeColor="text1"/>
                <w:kern w:val="0"/>
                <w:sz w:val="21"/>
                <w:szCs w:val="21"/>
              </w:rPr>
              <w:t>%</w:t>
            </w:r>
            <w:r>
              <w:rPr>
                <w:color w:val="000000" w:themeColor="text1"/>
                <w:kern w:val="0"/>
                <w:sz w:val="21"/>
                <w:szCs w:val="21"/>
              </w:rPr>
              <w:t>。</w:t>
            </w:r>
          </w:p>
        </w:tc>
      </w:tr>
      <w:tr w:rsidR="00546122">
        <w:trPr>
          <w:trHeight w:val="190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预决算信息公开性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部门（单位）是否按照政府信息公开规定公开相关预决算信息，用以反映和考核部门（单位）预决算管理的公开透明情况。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按规定内容公开预决算信息；</w:t>
            </w:r>
            <w:r>
              <w:rPr>
                <w:color w:val="000000"/>
                <w:kern w:val="0"/>
                <w:sz w:val="21"/>
                <w:szCs w:val="21"/>
              </w:rPr>
              <w:t>②</w:t>
            </w:r>
            <w:r>
              <w:rPr>
                <w:color w:val="000000"/>
                <w:kern w:val="0"/>
                <w:sz w:val="21"/>
                <w:szCs w:val="21"/>
              </w:rPr>
              <w:t>按规定时限公开预决算信息。以上两项各占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本单位为二级预算单位，无需单独做信息公开。其预决算信息包含在市发改委信息公开中。</w:t>
            </w:r>
          </w:p>
        </w:tc>
      </w:tr>
      <w:tr w:rsidR="00546122">
        <w:trPr>
          <w:trHeight w:val="1041"/>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用以反映和考核部门（单位）的收支管理制度是否健全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单位建立了资金收支管理制度。</w:t>
            </w:r>
          </w:p>
        </w:tc>
      </w:tr>
      <w:tr w:rsidR="00546122">
        <w:trPr>
          <w:trHeight w:val="212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收支管理执行情况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相关收支管理按制度执行；</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资金拨付有完整的审批程序和手续，并符合部门预算批复的用途。以上两项各占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单位在日常资金收支管理过程中按照制度执行。</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用以反映和考核部门（单位）的资产管理制度是否健全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单位建立了资产管理制度。</w:t>
            </w:r>
          </w:p>
        </w:tc>
      </w:tr>
      <w:tr w:rsidR="00546122">
        <w:trPr>
          <w:trHeight w:val="53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资产管理执行情况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相关资产管理按制度执行；</w:t>
            </w:r>
            <w:r>
              <w:rPr>
                <w:color w:val="000000"/>
                <w:kern w:val="0"/>
                <w:sz w:val="21"/>
                <w:szCs w:val="21"/>
              </w:rPr>
              <w:t>②</w:t>
            </w:r>
            <w:r>
              <w:rPr>
                <w:color w:val="000000"/>
                <w:kern w:val="0"/>
                <w:sz w:val="21"/>
                <w:szCs w:val="21"/>
              </w:rPr>
              <w:t>固定资产充分利用。以上两项各占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单位按照资产管理制度执行。</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用以反映和考核部门（单位）的采购制度是否健全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分，略有欠缺得</w:t>
            </w:r>
            <w:r>
              <w:rPr>
                <w:color w:val="000000"/>
                <w:kern w:val="0"/>
                <w:sz w:val="21"/>
                <w:szCs w:val="21"/>
              </w:rPr>
              <w:t>0.5</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单位制定了完善的政府采购管理制度。</w:t>
            </w:r>
          </w:p>
        </w:tc>
      </w:tr>
      <w:tr w:rsidR="00546122">
        <w:trPr>
          <w:trHeight w:val="185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政府采购执行情况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相关政府采购管理按制度执行；</w:t>
            </w:r>
            <w:r>
              <w:rPr>
                <w:color w:val="000000"/>
                <w:kern w:val="0"/>
                <w:sz w:val="21"/>
                <w:szCs w:val="21"/>
              </w:rPr>
              <w:t>②</w:t>
            </w:r>
            <w:r>
              <w:rPr>
                <w:color w:val="000000"/>
                <w:kern w:val="0"/>
                <w:sz w:val="21"/>
                <w:szCs w:val="21"/>
              </w:rPr>
              <w:t>政府采购资料保存完整。以上两项各占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单位按照政府采购管理制度执行。</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合同管理制度健全性</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用以反映和考核部门（单位）的合同制度是否健全</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健全得</w:t>
            </w:r>
            <w:r>
              <w:rPr>
                <w:color w:val="000000"/>
                <w:kern w:val="0"/>
                <w:sz w:val="21"/>
                <w:szCs w:val="21"/>
              </w:rPr>
              <w:t>1</w:t>
            </w:r>
            <w:r>
              <w:rPr>
                <w:color w:val="000000"/>
                <w:kern w:val="0"/>
                <w:sz w:val="21"/>
                <w:szCs w:val="21"/>
              </w:rPr>
              <w:t>分，略有欠缺得</w:t>
            </w:r>
            <w:r>
              <w:rPr>
                <w:color w:val="000000"/>
                <w:kern w:val="0"/>
                <w:sz w:val="21"/>
                <w:szCs w:val="21"/>
              </w:rPr>
              <w:t>0.5</w:t>
            </w:r>
            <w:r>
              <w:rPr>
                <w:color w:val="000000"/>
                <w:kern w:val="0"/>
                <w:sz w:val="21"/>
                <w:szCs w:val="21"/>
              </w:rPr>
              <w:t>分，无此类制度不得分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单位制定了完善的合同管理制度。</w:t>
            </w:r>
          </w:p>
        </w:tc>
      </w:tr>
      <w:tr w:rsidR="00546122">
        <w:trPr>
          <w:trHeight w:val="129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合同管理执行情况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用以反映和考核相关管理制度的有效执行情况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相关收支管理按制度执行；</w:t>
            </w:r>
            <w:r>
              <w:rPr>
                <w:color w:val="000000"/>
                <w:kern w:val="0"/>
                <w:sz w:val="21"/>
                <w:szCs w:val="21"/>
              </w:rPr>
              <w:t>②</w:t>
            </w:r>
            <w:r>
              <w:rPr>
                <w:color w:val="000000"/>
                <w:kern w:val="0"/>
                <w:sz w:val="21"/>
                <w:szCs w:val="21"/>
              </w:rPr>
              <w:t>合同签订是否符合程序，合同是否妥善归档。</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单位合同签订均按制度执行。</w:t>
            </w:r>
          </w:p>
        </w:tc>
      </w:tr>
      <w:tr w:rsidR="00546122">
        <w:trPr>
          <w:trHeight w:val="178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绩效管理</w:t>
            </w:r>
            <w:r>
              <w:rPr>
                <w:color w:val="000000"/>
                <w:kern w:val="0"/>
                <w:sz w:val="21"/>
                <w:szCs w:val="21"/>
              </w:rPr>
              <w:br/>
            </w:r>
            <w:r>
              <w:rPr>
                <w:color w:val="000000"/>
                <w:kern w:val="0"/>
                <w:sz w:val="21"/>
                <w:szCs w:val="21"/>
              </w:rPr>
              <w:t>（</w:t>
            </w:r>
            <w:r>
              <w:rPr>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组织管理情况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部门（单位）预算编制的基础信息是否完善，用以反映和考核基础信息对预算管理工作的支撑情况。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基础数据信息和会计信息资料完整；</w:t>
            </w:r>
            <w:r>
              <w:rPr>
                <w:color w:val="000000"/>
                <w:kern w:val="0"/>
                <w:sz w:val="21"/>
                <w:szCs w:val="21"/>
              </w:rPr>
              <w:t xml:space="preserve">                                                             </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基础数据信息和会计信息资料准确。</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单位基础数据信息和会计信息资料完整、准确。</w:t>
            </w:r>
          </w:p>
        </w:tc>
      </w:tr>
      <w:tr w:rsidR="00546122">
        <w:trPr>
          <w:trHeight w:val="90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工作开展情况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部门（单位）依据有关上级单位下达的开展绩效评价的通知，按要求组织开展预算绩效管理工作。包括</w:t>
            </w:r>
            <w:r>
              <w:rPr>
                <w:color w:val="000000"/>
                <w:kern w:val="0"/>
                <w:sz w:val="21"/>
                <w:szCs w:val="21"/>
              </w:rPr>
              <w:lastRenderedPageBreak/>
              <w:t>事前评估、目标管理、跟踪评价、自评价和落实整改。</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按要求开展预算绩效管理工作，及时总结经验，落实整改。得</w:t>
            </w:r>
            <w:r>
              <w:rPr>
                <w:color w:val="000000"/>
                <w:kern w:val="0"/>
                <w:sz w:val="21"/>
                <w:szCs w:val="21"/>
              </w:rPr>
              <w:t>1</w:t>
            </w:r>
            <w:r>
              <w:rPr>
                <w:color w:val="000000"/>
                <w:kern w:val="0"/>
                <w:sz w:val="21"/>
                <w:szCs w:val="21"/>
              </w:rPr>
              <w:t>分，否则不得分。</w:t>
            </w:r>
          </w:p>
        </w:tc>
        <w:tc>
          <w:tcPr>
            <w:tcW w:w="219" w:type="pct"/>
            <w:shd w:val="clear" w:color="auto" w:fill="auto"/>
            <w:noWrap/>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219" w:type="pct"/>
            <w:shd w:val="clear" w:color="auto" w:fill="auto"/>
            <w:noWrap/>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单位每年按照上级主管部门要求开展绩效自评价。　</w:t>
            </w:r>
          </w:p>
        </w:tc>
      </w:tr>
      <w:tr w:rsidR="00546122">
        <w:trPr>
          <w:trHeight w:val="188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内部控制管理</w:t>
            </w:r>
            <w:r>
              <w:rPr>
                <w:color w:val="000000"/>
                <w:kern w:val="0"/>
                <w:sz w:val="21"/>
                <w:szCs w:val="21"/>
              </w:rPr>
              <w:br/>
            </w:r>
            <w:r>
              <w:rPr>
                <w:color w:val="000000"/>
                <w:kern w:val="0"/>
                <w:sz w:val="21"/>
                <w:szCs w:val="21"/>
              </w:rPr>
              <w:t>（</w:t>
            </w:r>
            <w:r>
              <w:rPr>
                <w:color w:val="000000"/>
                <w:kern w:val="0"/>
                <w:sz w:val="21"/>
                <w:szCs w:val="21"/>
              </w:rPr>
              <w:t>6</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用以反映和考察部门是否设立或有使用的管理制度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各项管理制度制订齐全，有内部控制制度落实在书册等文本上；</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成立单位内控领导小组，分工明确。</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FF0000"/>
                <w:kern w:val="0"/>
                <w:sz w:val="21"/>
                <w:szCs w:val="21"/>
              </w:rPr>
            </w:pPr>
            <w:r>
              <w:rPr>
                <w:rFonts w:hint="eastAsia"/>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内部控制管理制度</w:t>
            </w:r>
            <w:r>
              <w:rPr>
                <w:rFonts w:hint="eastAsia"/>
                <w:color w:val="000000"/>
                <w:kern w:val="0"/>
                <w:sz w:val="21"/>
                <w:szCs w:val="21"/>
              </w:rPr>
              <w:t>齐全</w:t>
            </w:r>
            <w:r>
              <w:rPr>
                <w:color w:val="000000"/>
                <w:kern w:val="0"/>
                <w:sz w:val="21"/>
                <w:szCs w:val="21"/>
              </w:rPr>
              <w:t>，且制度流程间形成闭环。</w:t>
            </w:r>
          </w:p>
        </w:tc>
      </w:tr>
      <w:tr w:rsidR="00546122">
        <w:trPr>
          <w:trHeight w:val="123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内部控制执行情况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部门（单位）使用预算资金是否符合相关的预算财务管理制度的规定，特别是专项资金、项目资金的使用及核算规范性，用以反映和考核部门（单位）预算资金的规范运行情况。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是否定期开展内部控制领导小组会议；</w:t>
            </w:r>
            <w:r>
              <w:rPr>
                <w:color w:val="000000"/>
                <w:kern w:val="0"/>
                <w:sz w:val="21"/>
                <w:szCs w:val="21"/>
              </w:rPr>
              <w:t>②</w:t>
            </w:r>
            <w:r>
              <w:rPr>
                <w:color w:val="000000"/>
                <w:kern w:val="0"/>
                <w:sz w:val="21"/>
                <w:szCs w:val="21"/>
              </w:rPr>
              <w:t>重大项目决策、支出按规定经过评估论证；</w:t>
            </w:r>
            <w:r>
              <w:rPr>
                <w:color w:val="000000"/>
                <w:kern w:val="0"/>
                <w:sz w:val="21"/>
                <w:szCs w:val="21"/>
              </w:rPr>
              <w:t>③</w:t>
            </w:r>
            <w:r>
              <w:rPr>
                <w:color w:val="000000"/>
                <w:kern w:val="0"/>
                <w:sz w:val="21"/>
                <w:szCs w:val="21"/>
              </w:rPr>
              <w:t>是否分事行权、分岗设权、分级授权、职责清晰、定期轮岗；</w:t>
            </w:r>
            <w:r>
              <w:rPr>
                <w:color w:val="000000"/>
                <w:kern w:val="0"/>
                <w:sz w:val="21"/>
                <w:szCs w:val="21"/>
              </w:rPr>
              <w:t>④</w:t>
            </w:r>
            <w:r>
              <w:rPr>
                <w:color w:val="000000"/>
                <w:kern w:val="0"/>
                <w:sz w:val="21"/>
                <w:szCs w:val="21"/>
              </w:rPr>
              <w:t>在业务层面、单位层面风险评估覆盖面是否完全、无遗漏。以上四项各占</w:t>
            </w:r>
            <w:r>
              <w:rPr>
                <w:color w:val="000000"/>
                <w:kern w:val="0"/>
                <w:sz w:val="21"/>
                <w:szCs w:val="21"/>
              </w:rPr>
              <w:t>1/4</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单位按照内控管理制度进行日常管理。</w:t>
            </w:r>
          </w:p>
        </w:tc>
      </w:tr>
      <w:tr w:rsidR="00546122">
        <w:trPr>
          <w:trHeight w:val="1976"/>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内部控制监督评价</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为确保内控管理运行有效性，而开展的日常工作监督、专项监督和外部监督，并定期开展内部控制评价工作，发现问题及时整改。</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内部控制评价工作定期开展，并定期出具单位内控评价报告；</w:t>
            </w:r>
            <w:r>
              <w:rPr>
                <w:color w:val="000000"/>
                <w:kern w:val="0"/>
                <w:sz w:val="21"/>
                <w:szCs w:val="21"/>
              </w:rPr>
              <w:t>②</w:t>
            </w:r>
            <w:r>
              <w:rPr>
                <w:color w:val="000000"/>
                <w:kern w:val="0"/>
                <w:sz w:val="21"/>
                <w:szCs w:val="21"/>
              </w:rPr>
              <w:t>积极配合财政、审计、纪检监察、上级主管部门的监督评定。以上两项各占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单位每年按照要求开展内控自我评价，并配合上级主管部门开展督促工作。</w:t>
            </w:r>
          </w:p>
        </w:tc>
      </w:tr>
      <w:tr w:rsidR="00546122">
        <w:trPr>
          <w:trHeight w:val="1090"/>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部门履职</w:t>
            </w:r>
            <w:r>
              <w:rPr>
                <w:color w:val="000000"/>
                <w:kern w:val="0"/>
                <w:sz w:val="21"/>
                <w:szCs w:val="21"/>
              </w:rPr>
              <w:br/>
            </w:r>
            <w:r>
              <w:rPr>
                <w:color w:val="000000"/>
                <w:kern w:val="0"/>
                <w:sz w:val="21"/>
                <w:szCs w:val="21"/>
              </w:rPr>
              <w:t>（</w:t>
            </w:r>
            <w:r>
              <w:rPr>
                <w:color w:val="000000"/>
                <w:kern w:val="0"/>
                <w:sz w:val="21"/>
                <w:szCs w:val="21"/>
              </w:rPr>
              <w:t>3</w:t>
            </w:r>
            <w:r>
              <w:rPr>
                <w:rFonts w:hint="eastAsia"/>
                <w:color w:val="000000"/>
                <w:kern w:val="0"/>
                <w:sz w:val="21"/>
                <w:szCs w:val="21"/>
              </w:rPr>
              <w:t>3</w:t>
            </w:r>
            <w:r>
              <w:rPr>
                <w:color w:val="000000"/>
                <w:kern w:val="0"/>
                <w:sz w:val="21"/>
                <w:szCs w:val="21"/>
              </w:rPr>
              <w:t>）</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课题研究工作完成情况</w:t>
            </w:r>
            <w:r>
              <w:rPr>
                <w:color w:val="000000"/>
                <w:kern w:val="0"/>
                <w:sz w:val="21"/>
                <w:szCs w:val="21"/>
              </w:rPr>
              <w:br/>
            </w:r>
            <w:r>
              <w:rPr>
                <w:color w:val="000000"/>
                <w:kern w:val="0"/>
                <w:sz w:val="21"/>
                <w:szCs w:val="21"/>
              </w:rPr>
              <w:t>（</w:t>
            </w:r>
            <w:r>
              <w:rPr>
                <w:color w:val="000000"/>
                <w:kern w:val="0"/>
                <w:sz w:val="21"/>
                <w:szCs w:val="21"/>
              </w:rPr>
              <w:t>1</w:t>
            </w:r>
            <w:r>
              <w:rPr>
                <w:rFonts w:hint="eastAsia"/>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课题研究工作完成数量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年部门重点工作计划设立该项的三级指标，用以反映和考察部门课题研究、决策咨询工作开展及完成情况。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年完成</w:t>
            </w:r>
            <w:r>
              <w:rPr>
                <w:rFonts w:hint="eastAsia"/>
                <w:color w:val="000000"/>
                <w:kern w:val="0"/>
                <w:sz w:val="21"/>
                <w:szCs w:val="21"/>
              </w:rPr>
              <w:t>8</w:t>
            </w:r>
            <w:r>
              <w:rPr>
                <w:color w:val="000000"/>
                <w:kern w:val="0"/>
                <w:sz w:val="21"/>
                <w:szCs w:val="21"/>
              </w:rPr>
              <w:t>个重点调研课题和</w:t>
            </w:r>
            <w:r>
              <w:rPr>
                <w:rFonts w:hint="eastAsia"/>
                <w:color w:val="000000"/>
                <w:kern w:val="0"/>
                <w:sz w:val="21"/>
                <w:szCs w:val="21"/>
              </w:rPr>
              <w:t>20</w:t>
            </w:r>
            <w:r>
              <w:rPr>
                <w:color w:val="000000"/>
                <w:kern w:val="0"/>
                <w:sz w:val="21"/>
                <w:szCs w:val="21"/>
              </w:rPr>
              <w:t>个常规调研课题共</w:t>
            </w:r>
            <w:r>
              <w:rPr>
                <w:rFonts w:hint="eastAsia"/>
                <w:color w:val="000000"/>
                <w:kern w:val="0"/>
                <w:sz w:val="21"/>
                <w:szCs w:val="21"/>
              </w:rPr>
              <w:t>28</w:t>
            </w:r>
            <w:r>
              <w:rPr>
                <w:color w:val="000000"/>
                <w:kern w:val="0"/>
                <w:sz w:val="21"/>
                <w:szCs w:val="21"/>
              </w:rPr>
              <w:t>个调研课题的研究，并及时提供相关报告得满分，未完成一个课题按比重扣分。得分</w:t>
            </w:r>
            <w:r>
              <w:rPr>
                <w:color w:val="000000"/>
                <w:kern w:val="0"/>
                <w:sz w:val="21"/>
                <w:szCs w:val="21"/>
              </w:rPr>
              <w:t>=</w:t>
            </w:r>
            <w:r>
              <w:rPr>
                <w:color w:val="000000"/>
                <w:kern w:val="0"/>
                <w:sz w:val="21"/>
                <w:szCs w:val="21"/>
              </w:rPr>
              <w:t>（已完成课题数</w:t>
            </w:r>
            <w:r>
              <w:rPr>
                <w:color w:val="000000"/>
                <w:kern w:val="0"/>
                <w:sz w:val="21"/>
                <w:szCs w:val="21"/>
              </w:rPr>
              <w:t>/</w:t>
            </w:r>
            <w:r>
              <w:rPr>
                <w:rFonts w:hint="eastAsia"/>
                <w:color w:val="000000"/>
                <w:kern w:val="0"/>
                <w:sz w:val="21"/>
                <w:szCs w:val="21"/>
              </w:rPr>
              <w:t>2024</w:t>
            </w:r>
            <w:r>
              <w:rPr>
                <w:color w:val="000000"/>
                <w:kern w:val="0"/>
                <w:sz w:val="21"/>
                <w:szCs w:val="21"/>
              </w:rPr>
              <w:t>年总课题数）</w:t>
            </w:r>
            <w:r>
              <w:rPr>
                <w:color w:val="000000"/>
                <w:kern w:val="0"/>
                <w:sz w:val="21"/>
                <w:szCs w:val="21"/>
              </w:rPr>
              <w:t>×</w:t>
            </w:r>
            <w:r>
              <w:rPr>
                <w:color w:val="000000"/>
                <w:kern w:val="0"/>
                <w:sz w:val="21"/>
                <w:szCs w:val="21"/>
              </w:rPr>
              <w:t>该项分值。</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7</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7</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年单位完成了</w:t>
            </w:r>
            <w:r>
              <w:rPr>
                <w:rFonts w:hint="eastAsia"/>
                <w:color w:val="000000"/>
                <w:kern w:val="0"/>
                <w:sz w:val="21"/>
                <w:szCs w:val="21"/>
              </w:rPr>
              <w:t>8</w:t>
            </w:r>
            <w:r>
              <w:rPr>
                <w:color w:val="000000"/>
                <w:kern w:val="0"/>
                <w:sz w:val="21"/>
                <w:szCs w:val="21"/>
              </w:rPr>
              <w:t>个重点课题，</w:t>
            </w:r>
            <w:r>
              <w:rPr>
                <w:rFonts w:hint="eastAsia"/>
                <w:color w:val="000000"/>
                <w:kern w:val="0"/>
                <w:sz w:val="21"/>
                <w:szCs w:val="21"/>
              </w:rPr>
              <w:t>20</w:t>
            </w:r>
            <w:r>
              <w:rPr>
                <w:color w:val="000000"/>
                <w:kern w:val="0"/>
                <w:sz w:val="21"/>
                <w:szCs w:val="21"/>
              </w:rPr>
              <w:t>个常规课题的研究工作。</w:t>
            </w:r>
          </w:p>
        </w:tc>
      </w:tr>
      <w:tr w:rsidR="00546122">
        <w:trPr>
          <w:trHeight w:val="209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课题研究工作完成质量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年部门重点工作计划设立该三级指标，用以反映和考察决策咨询过程中，研究成果转化与应用情况。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课题研究成果实现发表或得到上级主管部门的运用、采纳，或取得奖项、荣誉的得满分，否则根据报告质量情况酌情扣分。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年按照要求开展课题研究，并形成成果转化，多项研究成果受到各级领导的认可与表彰。</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课题研究工作完成及时性</w:t>
            </w:r>
          </w:p>
        </w:tc>
        <w:tc>
          <w:tcPr>
            <w:tcW w:w="1196" w:type="pct"/>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年部门重点工作计划设立该三级指标，用以反映和考察课题研究工作完成的及时性</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课题研究工作在</w:t>
            </w:r>
            <w:r>
              <w:rPr>
                <w:rFonts w:hint="eastAsia"/>
                <w:color w:val="000000"/>
                <w:kern w:val="0"/>
                <w:sz w:val="21"/>
                <w:szCs w:val="21"/>
              </w:rPr>
              <w:t>2024</w:t>
            </w:r>
            <w:r>
              <w:rPr>
                <w:color w:val="000000"/>
                <w:kern w:val="0"/>
                <w:sz w:val="21"/>
                <w:szCs w:val="21"/>
              </w:rPr>
              <w:t>年度及时完成，并形成相应成果的得满分，否则根据完成情况酌情扣分。</w:t>
            </w:r>
          </w:p>
        </w:tc>
        <w:tc>
          <w:tcPr>
            <w:tcW w:w="219"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2</w:t>
            </w:r>
          </w:p>
        </w:tc>
        <w:tc>
          <w:tcPr>
            <w:tcW w:w="993" w:type="pct"/>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年度及时完成课题研究工作。</w:t>
            </w:r>
          </w:p>
        </w:tc>
      </w:tr>
      <w:tr w:rsidR="00546122">
        <w:trPr>
          <w:trHeight w:val="1504"/>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专题研究工作完成情况</w:t>
            </w:r>
            <w:r>
              <w:rPr>
                <w:color w:val="000000"/>
                <w:kern w:val="0"/>
                <w:sz w:val="21"/>
                <w:szCs w:val="21"/>
              </w:rPr>
              <w:br/>
            </w:r>
            <w:r>
              <w:rPr>
                <w:color w:val="000000"/>
                <w:kern w:val="0"/>
                <w:sz w:val="21"/>
                <w:szCs w:val="21"/>
              </w:rPr>
              <w:lastRenderedPageBreak/>
              <w:t>（</w:t>
            </w:r>
            <w:r>
              <w:rPr>
                <w:rFonts w:hint="eastAsia"/>
                <w:color w:val="000000"/>
                <w:kern w:val="0"/>
                <w:sz w:val="21"/>
                <w:szCs w:val="21"/>
              </w:rPr>
              <w:t>8</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专题研究文章发表数量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年部门常规工作计划设立该项的三级指标，用以反映和考核部门日常专题研究工作的开展情况。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经济、消费方面的文章研究发表完成情况；</w:t>
            </w:r>
            <w:r>
              <w:rPr>
                <w:color w:val="000000"/>
                <w:kern w:val="0"/>
                <w:sz w:val="21"/>
                <w:szCs w:val="21"/>
              </w:rPr>
              <w:t>②</w:t>
            </w:r>
            <w:r>
              <w:rPr>
                <w:color w:val="000000"/>
                <w:kern w:val="0"/>
                <w:sz w:val="21"/>
                <w:szCs w:val="21"/>
              </w:rPr>
              <w:t>《重点城市一周动态》周刊发表完成情况；</w:t>
            </w:r>
            <w:r>
              <w:rPr>
                <w:color w:val="000000"/>
                <w:kern w:val="0"/>
                <w:sz w:val="21"/>
                <w:szCs w:val="21"/>
              </w:rPr>
              <w:t>③</w:t>
            </w:r>
            <w:r>
              <w:rPr>
                <w:color w:val="000000"/>
                <w:kern w:val="0"/>
                <w:sz w:val="21"/>
                <w:szCs w:val="21"/>
              </w:rPr>
              <w:t>市发改委各类研究成果文章定期刊发情况。以上三项各占</w:t>
            </w:r>
            <w:r>
              <w:rPr>
                <w:color w:val="000000"/>
                <w:kern w:val="0"/>
                <w:sz w:val="21"/>
                <w:szCs w:val="21"/>
              </w:rPr>
              <w:t>1/3</w:t>
            </w:r>
            <w:r>
              <w:rPr>
                <w:color w:val="000000"/>
                <w:kern w:val="0"/>
                <w:sz w:val="21"/>
                <w:szCs w:val="21"/>
              </w:rPr>
              <w:lastRenderedPageBreak/>
              <w:t>权重分，符合则得分，否则酌情扣分。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6</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6</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《加快形成新质生产力：理论逻辑、主体架构与实现路径》《凝</w:t>
            </w:r>
            <w:r>
              <w:rPr>
                <w:color w:val="000000"/>
                <w:kern w:val="0"/>
                <w:sz w:val="21"/>
                <w:szCs w:val="21"/>
              </w:rPr>
              <w:t>“</w:t>
            </w:r>
            <w:r>
              <w:rPr>
                <w:color w:val="000000"/>
                <w:kern w:val="0"/>
                <w:sz w:val="21"/>
                <w:szCs w:val="21"/>
              </w:rPr>
              <w:t>新</w:t>
            </w:r>
            <w:r>
              <w:rPr>
                <w:color w:val="000000"/>
                <w:kern w:val="0"/>
                <w:sz w:val="21"/>
                <w:szCs w:val="21"/>
              </w:rPr>
              <w:t>”</w:t>
            </w:r>
            <w:r>
              <w:rPr>
                <w:color w:val="000000"/>
                <w:kern w:val="0"/>
                <w:sz w:val="21"/>
                <w:szCs w:val="21"/>
              </w:rPr>
              <w:t>聚力</w:t>
            </w:r>
            <w:r>
              <w:rPr>
                <w:color w:val="000000"/>
                <w:kern w:val="0"/>
                <w:sz w:val="21"/>
                <w:szCs w:val="21"/>
              </w:rPr>
              <w:t xml:space="preserve"> </w:t>
            </w:r>
            <w:r>
              <w:rPr>
                <w:color w:val="000000"/>
                <w:kern w:val="0"/>
                <w:sz w:val="21"/>
                <w:szCs w:val="21"/>
              </w:rPr>
              <w:t>提</w:t>
            </w:r>
            <w:r>
              <w:rPr>
                <w:color w:val="000000"/>
                <w:kern w:val="0"/>
                <w:sz w:val="21"/>
                <w:szCs w:val="21"/>
              </w:rPr>
              <w:t>“</w:t>
            </w:r>
            <w:r>
              <w:rPr>
                <w:color w:val="000000"/>
                <w:kern w:val="0"/>
                <w:sz w:val="21"/>
                <w:szCs w:val="21"/>
              </w:rPr>
              <w:t>质</w:t>
            </w:r>
            <w:r>
              <w:rPr>
                <w:color w:val="000000"/>
                <w:kern w:val="0"/>
                <w:sz w:val="21"/>
                <w:szCs w:val="21"/>
              </w:rPr>
              <w:t>”</w:t>
            </w:r>
            <w:r>
              <w:rPr>
                <w:color w:val="000000"/>
                <w:kern w:val="0"/>
                <w:sz w:val="21"/>
                <w:szCs w:val="21"/>
              </w:rPr>
              <w:t>增效</w:t>
            </w:r>
            <w:r>
              <w:rPr>
                <w:color w:val="000000"/>
                <w:kern w:val="0"/>
                <w:sz w:val="21"/>
                <w:szCs w:val="21"/>
              </w:rPr>
              <w:t xml:space="preserve"> </w:t>
            </w:r>
            <w:r>
              <w:rPr>
                <w:color w:val="000000"/>
                <w:kern w:val="0"/>
                <w:sz w:val="21"/>
                <w:szCs w:val="21"/>
              </w:rPr>
              <w:t>以</w:t>
            </w:r>
            <w:r>
              <w:rPr>
                <w:color w:val="000000"/>
                <w:kern w:val="0"/>
                <w:sz w:val="21"/>
                <w:szCs w:val="21"/>
              </w:rPr>
              <w:t>“</w:t>
            </w:r>
            <w:r>
              <w:rPr>
                <w:color w:val="000000"/>
                <w:kern w:val="0"/>
                <w:sz w:val="21"/>
                <w:szCs w:val="21"/>
              </w:rPr>
              <w:t>新质生产力</w:t>
            </w:r>
            <w:r>
              <w:rPr>
                <w:color w:val="000000"/>
                <w:kern w:val="0"/>
                <w:sz w:val="21"/>
                <w:szCs w:val="21"/>
              </w:rPr>
              <w:t>”</w:t>
            </w:r>
            <w:r>
              <w:rPr>
                <w:color w:val="000000"/>
                <w:kern w:val="0"/>
                <w:sz w:val="21"/>
                <w:szCs w:val="21"/>
              </w:rPr>
              <w:t>加快南京</w:t>
            </w:r>
            <w:r>
              <w:rPr>
                <w:color w:val="000000"/>
                <w:kern w:val="0"/>
                <w:sz w:val="21"/>
                <w:szCs w:val="21"/>
              </w:rPr>
              <w:lastRenderedPageBreak/>
              <w:t>经济高质量发展》</w:t>
            </w:r>
            <w:r>
              <w:rPr>
                <w:rFonts w:hint="eastAsia"/>
                <w:color w:val="000000"/>
                <w:kern w:val="0"/>
                <w:sz w:val="21"/>
                <w:szCs w:val="21"/>
              </w:rPr>
              <w:t>《加快形成新质生产力增强经济内生发展动力》《促进南京人</w:t>
            </w:r>
            <w:r>
              <w:rPr>
                <w:color w:val="000000"/>
                <w:kern w:val="0"/>
                <w:sz w:val="21"/>
                <w:szCs w:val="21"/>
              </w:rPr>
              <w:t>口增长的相关政策研究</w:t>
            </w:r>
            <w:r>
              <w:rPr>
                <w:rFonts w:hint="eastAsia"/>
                <w:color w:val="000000"/>
                <w:kern w:val="0"/>
                <w:sz w:val="21"/>
                <w:szCs w:val="21"/>
              </w:rPr>
              <w:t>》《南京市中心城</w:t>
            </w:r>
            <w:r>
              <w:rPr>
                <w:color w:val="000000"/>
                <w:kern w:val="0"/>
                <w:sz w:val="21"/>
                <w:szCs w:val="21"/>
              </w:rPr>
              <w:t>区动能再造路径研究</w:t>
            </w:r>
            <w:r>
              <w:rPr>
                <w:rFonts w:hint="eastAsia"/>
                <w:color w:val="000000"/>
                <w:kern w:val="0"/>
                <w:sz w:val="21"/>
                <w:szCs w:val="21"/>
              </w:rPr>
              <w:t>》《南京都市圈高</w:t>
            </w:r>
            <w:r>
              <w:rPr>
                <w:color w:val="000000"/>
                <w:kern w:val="0"/>
                <w:sz w:val="21"/>
                <w:szCs w:val="21"/>
              </w:rPr>
              <w:t>质量协同发展研究</w:t>
            </w:r>
            <w:r>
              <w:rPr>
                <w:rFonts w:hint="eastAsia"/>
                <w:color w:val="000000"/>
                <w:kern w:val="0"/>
                <w:sz w:val="21"/>
                <w:szCs w:val="21"/>
              </w:rPr>
              <w:t>》</w:t>
            </w:r>
            <w:r>
              <w:rPr>
                <w:color w:val="000000"/>
                <w:kern w:val="0"/>
                <w:sz w:val="21"/>
                <w:szCs w:val="21"/>
              </w:rPr>
              <w:t>《</w:t>
            </w:r>
            <w:r>
              <w:rPr>
                <w:rFonts w:hint="eastAsia"/>
                <w:color w:val="000000"/>
                <w:kern w:val="0"/>
                <w:sz w:val="21"/>
                <w:szCs w:val="21"/>
              </w:rPr>
              <w:t>南京</w:t>
            </w:r>
            <w:r>
              <w:rPr>
                <w:color w:val="000000"/>
                <w:kern w:val="0"/>
                <w:sz w:val="21"/>
                <w:szCs w:val="21"/>
              </w:rPr>
              <w:t>开发区整合优化路径研究分析》</w:t>
            </w:r>
            <w:r>
              <w:rPr>
                <w:rFonts w:hint="eastAsia"/>
                <w:color w:val="000000"/>
                <w:kern w:val="0"/>
                <w:sz w:val="21"/>
                <w:szCs w:val="21"/>
              </w:rPr>
              <w:t>《做大做优做强南京市独角兽瞪羚企</w:t>
            </w:r>
            <w:r>
              <w:rPr>
                <w:rFonts w:hint="eastAsia"/>
                <w:color w:val="000000"/>
                <w:kern w:val="0"/>
                <w:sz w:val="21"/>
                <w:szCs w:val="21"/>
              </w:rPr>
              <w:t>业路径举措研究》《南京智能电网产业链现状分析及对策建议》《加快推动南京生物医药产业高质量发展研究》《新质生产力引领低空经济“高飞”》</w:t>
            </w:r>
            <w:r>
              <w:rPr>
                <w:color w:val="000000"/>
                <w:kern w:val="0"/>
                <w:sz w:val="21"/>
                <w:szCs w:val="21"/>
              </w:rPr>
              <w:t>《南京市集成电路产业分析报告</w:t>
            </w:r>
            <w:r>
              <w:rPr>
                <w:rFonts w:hint="eastAsia"/>
                <w:color w:val="000000"/>
                <w:kern w:val="0"/>
                <w:sz w:val="21"/>
                <w:szCs w:val="21"/>
              </w:rPr>
              <w:t>》</w:t>
            </w:r>
            <w:r>
              <w:rPr>
                <w:color w:val="000000"/>
                <w:kern w:val="0"/>
                <w:sz w:val="21"/>
                <w:szCs w:val="21"/>
              </w:rPr>
              <w:t>设现状与发展展望》《推进南京服务业扩大开放综合试点的六条建议》</w:t>
            </w:r>
          </w:p>
        </w:tc>
      </w:tr>
      <w:tr w:rsidR="00546122">
        <w:trPr>
          <w:trHeight w:val="1878"/>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专题研究文章质量</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年部门重点工作计划设立该项的三级指标，用以反映和考核部门与外部机构合作的或发改委派发的专项研究工作的开展情况。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专题研究刊发文章紧扣经济、民生、舆情等热点问题的得满分，否则根据实际情况酌情扣分。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2024</w:t>
            </w:r>
            <w:r>
              <w:rPr>
                <w:color w:val="000000"/>
                <w:kern w:val="0"/>
                <w:sz w:val="21"/>
                <w:szCs w:val="21"/>
              </w:rPr>
              <w:t>年单位专题研究的内容紧紧围绕经济、民生、舆情等热点问题。</w:t>
            </w:r>
          </w:p>
        </w:tc>
      </w:tr>
      <w:tr w:rsidR="00546122">
        <w:trPr>
          <w:trHeight w:val="193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经济监测工作完成情况</w:t>
            </w:r>
            <w:r>
              <w:rPr>
                <w:color w:val="000000"/>
                <w:kern w:val="0"/>
                <w:sz w:val="21"/>
                <w:szCs w:val="21"/>
              </w:rPr>
              <w:br/>
            </w:r>
            <w:r>
              <w:rPr>
                <w:color w:val="000000"/>
                <w:kern w:val="0"/>
                <w:sz w:val="21"/>
                <w:szCs w:val="21"/>
              </w:rPr>
              <w:t>（</w:t>
            </w:r>
            <w:r>
              <w:rPr>
                <w:color w:val="000000"/>
                <w:kern w:val="0"/>
                <w:sz w:val="21"/>
                <w:szCs w:val="21"/>
              </w:rPr>
              <w:t>8</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先行</w:t>
            </w:r>
            <w:r>
              <w:rPr>
                <w:color w:val="000000"/>
                <w:kern w:val="0"/>
                <w:sz w:val="21"/>
                <w:szCs w:val="21"/>
              </w:rPr>
              <w:t>经济</w:t>
            </w:r>
            <w:r>
              <w:rPr>
                <w:rFonts w:hint="eastAsia"/>
                <w:color w:val="000000"/>
                <w:kern w:val="0"/>
                <w:sz w:val="21"/>
                <w:szCs w:val="21"/>
              </w:rPr>
              <w:t>指标</w:t>
            </w:r>
            <w:r>
              <w:rPr>
                <w:color w:val="000000"/>
                <w:kern w:val="0"/>
                <w:sz w:val="21"/>
                <w:szCs w:val="21"/>
              </w:rPr>
              <w:t>监测情况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年部门重点工作计划设立该项的三级指标，用以反映和考核部门经济监测工作的履职情况。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每月政务数据监控工作达标（</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每月社会数据监测工作达标（</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w:t>
            </w:r>
            <w:r>
              <w:rPr>
                <w:rFonts w:hint="eastAsia"/>
                <w:color w:val="000000"/>
                <w:kern w:val="0"/>
                <w:sz w:val="21"/>
                <w:szCs w:val="21"/>
              </w:rPr>
              <w:t>先行经济指标</w:t>
            </w:r>
            <w:r>
              <w:rPr>
                <w:color w:val="000000"/>
                <w:kern w:val="0"/>
                <w:sz w:val="21"/>
                <w:szCs w:val="21"/>
              </w:rPr>
              <w:t>数据监测工作。</w:t>
            </w:r>
          </w:p>
        </w:tc>
      </w:tr>
      <w:tr w:rsidR="00546122">
        <w:trPr>
          <w:trHeight w:val="312"/>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重点企业监测情况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年部门重点工作计划设立该项的三级指标，用以反映和考核部门经济监测工作的履职情况。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每季度对全市</w:t>
            </w:r>
            <w:r>
              <w:rPr>
                <w:color w:val="000000"/>
                <w:kern w:val="0"/>
                <w:sz w:val="21"/>
                <w:szCs w:val="21"/>
              </w:rPr>
              <w:t xml:space="preserve"> 444 </w:t>
            </w:r>
            <w:r>
              <w:rPr>
                <w:color w:val="000000"/>
                <w:kern w:val="0"/>
                <w:sz w:val="21"/>
                <w:szCs w:val="21"/>
              </w:rPr>
              <w:t>家重点企业进行问卷调查，全年共完成</w:t>
            </w:r>
            <w:r>
              <w:rPr>
                <w:color w:val="000000"/>
                <w:kern w:val="0"/>
                <w:sz w:val="21"/>
                <w:szCs w:val="21"/>
              </w:rPr>
              <w:t>4</w:t>
            </w:r>
            <w:r>
              <w:rPr>
                <w:color w:val="000000"/>
                <w:kern w:val="0"/>
                <w:sz w:val="21"/>
                <w:szCs w:val="21"/>
              </w:rPr>
              <w:t>个季度企业调查报告，相关结论被吸纳到每季度的全市经济形势分析报告中。</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年按照要求开展每个季度企业调查，并形成全市经济形势监测报告。</w:t>
            </w:r>
          </w:p>
        </w:tc>
      </w:tr>
      <w:tr w:rsidR="00546122">
        <w:trPr>
          <w:trHeight w:val="178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南京发展展望</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年部门重点工作计划设立该项的三级指标，用以反映和考核部门对于</w:t>
            </w:r>
            <w:r>
              <w:rPr>
                <w:rFonts w:hint="eastAsia"/>
                <w:color w:val="000000"/>
                <w:kern w:val="0"/>
                <w:sz w:val="21"/>
                <w:szCs w:val="21"/>
              </w:rPr>
              <w:t>2024</w:t>
            </w:r>
            <w:r>
              <w:rPr>
                <w:color w:val="000000"/>
                <w:kern w:val="0"/>
                <w:sz w:val="21"/>
                <w:szCs w:val="21"/>
              </w:rPr>
              <w:t>年度南京发展形势总结，</w:t>
            </w:r>
            <w:r>
              <w:rPr>
                <w:rFonts w:hint="eastAsia"/>
                <w:color w:val="000000"/>
                <w:kern w:val="0"/>
                <w:sz w:val="21"/>
                <w:szCs w:val="21"/>
              </w:rPr>
              <w:t>2024</w:t>
            </w:r>
            <w:r>
              <w:rPr>
                <w:color w:val="000000"/>
                <w:kern w:val="0"/>
                <w:sz w:val="21"/>
                <w:szCs w:val="21"/>
              </w:rPr>
              <w:t>年南京发展趋势预测。</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南京发展展望研究完成并形成相应成果刊发文章的得满分，否则根据完成情况酌情扣分。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年在《</w:t>
            </w:r>
            <w:r>
              <w:rPr>
                <w:rFonts w:hint="eastAsia"/>
                <w:color w:val="000000"/>
                <w:kern w:val="0"/>
                <w:sz w:val="21"/>
                <w:szCs w:val="21"/>
              </w:rPr>
              <w:t>南京市经济社会发展蓝皮书</w:t>
            </w:r>
            <w:r>
              <w:rPr>
                <w:color w:val="000000"/>
                <w:kern w:val="0"/>
                <w:sz w:val="21"/>
                <w:szCs w:val="21"/>
              </w:rPr>
              <w:t>》等</w:t>
            </w:r>
            <w:r>
              <w:rPr>
                <w:rFonts w:hint="eastAsia"/>
                <w:color w:val="000000"/>
                <w:kern w:val="0"/>
                <w:sz w:val="21"/>
                <w:szCs w:val="21"/>
              </w:rPr>
              <w:t>刊物</w:t>
            </w:r>
            <w:r>
              <w:rPr>
                <w:color w:val="000000"/>
                <w:kern w:val="0"/>
                <w:sz w:val="21"/>
                <w:szCs w:val="21"/>
              </w:rPr>
              <w:t>发表南京发展展望的报告。</w:t>
            </w:r>
          </w:p>
        </w:tc>
      </w:tr>
      <w:tr w:rsidR="00546122">
        <w:trPr>
          <w:trHeight w:val="1665"/>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重大政策研究参与情况（</w:t>
            </w:r>
            <w:r>
              <w:rPr>
                <w:rFonts w:hint="eastAsia"/>
                <w:color w:val="000000"/>
                <w:kern w:val="0"/>
                <w:sz w:val="21"/>
                <w:szCs w:val="21"/>
              </w:rPr>
              <w:t>5</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重大政策研究参与完成度</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根据</w:t>
            </w:r>
            <w:r>
              <w:rPr>
                <w:rFonts w:hint="eastAsia"/>
                <w:color w:val="000000"/>
                <w:kern w:val="0"/>
                <w:sz w:val="21"/>
                <w:szCs w:val="21"/>
              </w:rPr>
              <w:t>2024</w:t>
            </w:r>
            <w:r>
              <w:rPr>
                <w:color w:val="000000"/>
                <w:kern w:val="0"/>
                <w:sz w:val="21"/>
                <w:szCs w:val="21"/>
              </w:rPr>
              <w:t>年部门重点工作计划设立该项的三级指标，用以反映和考核部门</w:t>
            </w:r>
            <w:r>
              <w:rPr>
                <w:rFonts w:hint="eastAsia"/>
                <w:color w:val="000000"/>
                <w:kern w:val="0"/>
                <w:sz w:val="21"/>
                <w:szCs w:val="21"/>
              </w:rPr>
              <w:t>2024</w:t>
            </w:r>
            <w:r>
              <w:rPr>
                <w:color w:val="000000"/>
                <w:kern w:val="0"/>
                <w:sz w:val="21"/>
                <w:szCs w:val="21"/>
              </w:rPr>
              <w:t>年重大政策研究参与情况。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完成参与研究、起草国家、省、市级政策文件工作任务的得满分，否则根据实际情况酌情扣分。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w:t>
            </w:r>
            <w:r>
              <w:rPr>
                <w:rFonts w:hint="eastAsia"/>
                <w:color w:val="000000"/>
                <w:kern w:val="0"/>
                <w:sz w:val="21"/>
                <w:szCs w:val="21"/>
              </w:rPr>
              <w:t>2024</w:t>
            </w:r>
            <w:r>
              <w:rPr>
                <w:color w:val="000000"/>
                <w:kern w:val="0"/>
                <w:sz w:val="21"/>
                <w:szCs w:val="21"/>
              </w:rPr>
              <w:t>年积极参与并完成上级主管部门的重大政策研究工作。</w:t>
            </w:r>
          </w:p>
        </w:tc>
      </w:tr>
      <w:tr w:rsidR="00546122">
        <w:trPr>
          <w:trHeight w:val="1133"/>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履职效益</w:t>
            </w:r>
            <w:r>
              <w:rPr>
                <w:color w:val="000000"/>
                <w:kern w:val="0"/>
                <w:sz w:val="21"/>
                <w:szCs w:val="21"/>
              </w:rPr>
              <w:br/>
            </w:r>
            <w:r>
              <w:rPr>
                <w:color w:val="000000"/>
                <w:kern w:val="0"/>
                <w:sz w:val="21"/>
                <w:szCs w:val="21"/>
              </w:rPr>
              <w:t>（</w:t>
            </w:r>
            <w:r>
              <w:rPr>
                <w:color w:val="000000"/>
                <w:kern w:val="0"/>
                <w:sz w:val="21"/>
                <w:szCs w:val="21"/>
              </w:rPr>
              <w:t>2</w:t>
            </w:r>
            <w:r>
              <w:rPr>
                <w:rFonts w:hint="eastAsia"/>
                <w:color w:val="000000"/>
                <w:kern w:val="0"/>
                <w:sz w:val="21"/>
                <w:szCs w:val="21"/>
              </w:rPr>
              <w:t>2</w:t>
            </w:r>
            <w:r>
              <w:rPr>
                <w:color w:val="000000"/>
                <w:kern w:val="0"/>
                <w:sz w:val="21"/>
                <w:szCs w:val="21"/>
              </w:rPr>
              <w:t>分）</w:t>
            </w:r>
          </w:p>
        </w:tc>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社会效益</w:t>
            </w:r>
            <w:r>
              <w:rPr>
                <w:color w:val="000000"/>
                <w:kern w:val="0"/>
                <w:sz w:val="21"/>
                <w:szCs w:val="21"/>
              </w:rPr>
              <w:br/>
            </w:r>
            <w:r>
              <w:rPr>
                <w:color w:val="000000"/>
                <w:kern w:val="0"/>
                <w:sz w:val="21"/>
                <w:szCs w:val="21"/>
              </w:rPr>
              <w:t>（</w:t>
            </w:r>
            <w:r>
              <w:rPr>
                <w:color w:val="000000"/>
                <w:kern w:val="0"/>
                <w:sz w:val="21"/>
                <w:szCs w:val="21"/>
              </w:rPr>
              <w:t>1</w:t>
            </w:r>
            <w:r>
              <w:rPr>
                <w:rFonts w:hint="eastAsia"/>
                <w:color w:val="000000"/>
                <w:kern w:val="0"/>
                <w:sz w:val="21"/>
                <w:szCs w:val="21"/>
              </w:rPr>
              <w:t>2</w:t>
            </w:r>
            <w:r>
              <w:rPr>
                <w:color w:val="000000"/>
                <w:kern w:val="0"/>
                <w:sz w:val="21"/>
                <w:szCs w:val="21"/>
              </w:rPr>
              <w:t>）</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智库影响力</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用以反映和考核部门（单位）履职工作带来的品牌效益和智库影响力。</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打造宏观中心智库品牌，构建南京市宏观经济预警指标体系，对宏观经济进行综合性、全面性、系统性分析判断；</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②</w:t>
            </w:r>
            <w:r>
              <w:rPr>
                <w:color w:val="000000"/>
                <w:kern w:val="0"/>
                <w:sz w:val="21"/>
                <w:szCs w:val="21"/>
              </w:rPr>
              <w:t>加强与相关政府部门、科研院所交流合作，凝聚研究合力，提高部门在其他同类智库中的影响力。以上两项各占</w:t>
            </w:r>
            <w:r>
              <w:rPr>
                <w:color w:val="000000"/>
                <w:kern w:val="0"/>
                <w:sz w:val="21"/>
                <w:szCs w:val="21"/>
              </w:rPr>
              <w:t>1/2</w:t>
            </w:r>
            <w:r>
              <w:rPr>
                <w:color w:val="000000"/>
                <w:kern w:val="0"/>
                <w:sz w:val="21"/>
                <w:szCs w:val="21"/>
              </w:rPr>
              <w:t>权重分，符合则得分，否则不得分。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4</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4</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单位积极与</w:t>
            </w:r>
            <w:r>
              <w:rPr>
                <w:rFonts w:hint="eastAsia"/>
                <w:color w:val="000000"/>
                <w:kern w:val="0"/>
                <w:sz w:val="21"/>
                <w:szCs w:val="21"/>
              </w:rPr>
              <w:t>市委宣传部、</w:t>
            </w:r>
            <w:r>
              <w:rPr>
                <w:color w:val="000000"/>
                <w:kern w:val="0"/>
                <w:sz w:val="21"/>
                <w:szCs w:val="21"/>
              </w:rPr>
              <w:t>相关政府部门、科研院所交流，不断完善智库品牌。</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媒体刊登</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用以反映和考核部门（单位）履职工作带来的媒体报道等社会宣传力度。</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研究成果、先进事迹被媒体报道或刊登，有一篇得</w:t>
            </w:r>
            <w:r>
              <w:rPr>
                <w:color w:val="000000"/>
                <w:kern w:val="0"/>
                <w:sz w:val="21"/>
                <w:szCs w:val="21"/>
              </w:rPr>
              <w:t>1</w:t>
            </w:r>
            <w:r>
              <w:rPr>
                <w:color w:val="000000"/>
                <w:kern w:val="0"/>
                <w:sz w:val="21"/>
                <w:szCs w:val="21"/>
              </w:rPr>
              <w:t>分，累计最高得</w:t>
            </w:r>
            <w:r>
              <w:rPr>
                <w:color w:val="000000"/>
                <w:kern w:val="0"/>
                <w:sz w:val="21"/>
                <w:szCs w:val="21"/>
              </w:rPr>
              <w:t>3</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3</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单位多篇研究成果在《新华日报》、《南京日报》</w:t>
            </w:r>
            <w:r>
              <w:rPr>
                <w:rFonts w:hint="eastAsia"/>
                <w:color w:val="000000"/>
                <w:kern w:val="0"/>
                <w:sz w:val="21"/>
                <w:szCs w:val="21"/>
              </w:rPr>
              <w:t>《金陵瞭望》</w:t>
            </w:r>
            <w:r>
              <w:rPr>
                <w:color w:val="000000"/>
                <w:kern w:val="0"/>
                <w:sz w:val="21"/>
                <w:szCs w:val="21"/>
              </w:rPr>
              <w:t>等</w:t>
            </w:r>
            <w:r>
              <w:rPr>
                <w:rFonts w:hint="eastAsia"/>
                <w:color w:val="000000"/>
                <w:kern w:val="0"/>
                <w:sz w:val="21"/>
                <w:szCs w:val="21"/>
              </w:rPr>
              <w:t>党刊党报</w:t>
            </w:r>
            <w:r>
              <w:rPr>
                <w:color w:val="000000"/>
                <w:kern w:val="0"/>
                <w:sz w:val="21"/>
                <w:szCs w:val="21"/>
              </w:rPr>
              <w:t>刊登。</w:t>
            </w:r>
          </w:p>
        </w:tc>
      </w:tr>
      <w:tr w:rsidR="00546122">
        <w:trPr>
          <w:trHeight w:val="190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政府决策支持</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用以反映和考核部门（单位）研究成果转化情况、以及被市委市政府采纳情况。</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市委市政府采纳部门研究成果作为其决策支持和参考依据，有一篇得</w:t>
            </w:r>
            <w:r>
              <w:rPr>
                <w:color w:val="000000"/>
                <w:kern w:val="0"/>
                <w:sz w:val="21"/>
                <w:szCs w:val="21"/>
              </w:rPr>
              <w:t>1</w:t>
            </w:r>
            <w:r>
              <w:rPr>
                <w:color w:val="000000"/>
                <w:kern w:val="0"/>
                <w:sz w:val="21"/>
                <w:szCs w:val="21"/>
              </w:rPr>
              <w:t>分，累计最高得</w:t>
            </w:r>
            <w:r>
              <w:rPr>
                <w:color w:val="000000"/>
                <w:kern w:val="0"/>
                <w:sz w:val="21"/>
                <w:szCs w:val="21"/>
              </w:rPr>
              <w:t>5</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多篇报告获省、市委领导批示</w:t>
            </w:r>
          </w:p>
        </w:tc>
      </w:tr>
      <w:tr w:rsidR="00546122">
        <w:trPr>
          <w:trHeight w:val="82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满意度</w:t>
            </w:r>
            <w:r>
              <w:rPr>
                <w:color w:val="000000"/>
                <w:kern w:val="0"/>
                <w:sz w:val="21"/>
                <w:szCs w:val="21"/>
              </w:rPr>
              <w:br/>
            </w:r>
            <w:r>
              <w:rPr>
                <w:color w:val="000000"/>
                <w:kern w:val="0"/>
                <w:sz w:val="21"/>
                <w:szCs w:val="21"/>
              </w:rPr>
              <w:t>（</w:t>
            </w:r>
            <w:r>
              <w:rPr>
                <w:color w:val="000000"/>
                <w:kern w:val="0"/>
                <w:sz w:val="21"/>
                <w:szCs w:val="21"/>
              </w:rPr>
              <w:t>10</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社会公众、服务对象满意度</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社会公众或服务对象是指部门（单位）履行职责而影响到的部门、群体或个人。一般采取社会调查的方式。</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综合满意度</w:t>
            </w:r>
            <w:r>
              <w:rPr>
                <w:color w:val="000000"/>
                <w:kern w:val="0"/>
                <w:sz w:val="21"/>
                <w:szCs w:val="21"/>
              </w:rPr>
              <w:t>90%</w:t>
            </w:r>
            <w:r>
              <w:rPr>
                <w:color w:val="000000"/>
                <w:kern w:val="0"/>
                <w:sz w:val="21"/>
                <w:szCs w:val="21"/>
              </w:rPr>
              <w:t>（含）以上得</w:t>
            </w:r>
            <w:r>
              <w:rPr>
                <w:color w:val="000000"/>
                <w:kern w:val="0"/>
                <w:sz w:val="21"/>
                <w:szCs w:val="21"/>
              </w:rPr>
              <w:t>10</w:t>
            </w:r>
            <w:r>
              <w:rPr>
                <w:color w:val="000000"/>
                <w:kern w:val="0"/>
                <w:sz w:val="21"/>
                <w:szCs w:val="21"/>
              </w:rPr>
              <w:t>分，每降低一个百分点扣</w:t>
            </w:r>
            <w:r>
              <w:rPr>
                <w:color w:val="000000"/>
                <w:kern w:val="0"/>
                <w:sz w:val="21"/>
                <w:szCs w:val="21"/>
              </w:rPr>
              <w:t>0.2</w:t>
            </w:r>
            <w:r>
              <w:rPr>
                <w:color w:val="000000"/>
                <w:kern w:val="0"/>
                <w:sz w:val="21"/>
                <w:szCs w:val="21"/>
              </w:rPr>
              <w:t>分，满意度</w:t>
            </w:r>
            <w:r>
              <w:rPr>
                <w:color w:val="000000"/>
                <w:kern w:val="0"/>
                <w:sz w:val="21"/>
                <w:szCs w:val="21"/>
              </w:rPr>
              <w:t>60%</w:t>
            </w:r>
            <w:r>
              <w:rPr>
                <w:color w:val="000000"/>
                <w:kern w:val="0"/>
                <w:sz w:val="21"/>
                <w:szCs w:val="21"/>
              </w:rPr>
              <w:t>以下不得分。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10</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10</w:t>
            </w:r>
          </w:p>
        </w:tc>
        <w:tc>
          <w:tcPr>
            <w:tcW w:w="993" w:type="pct"/>
            <w:shd w:val="clear" w:color="auto" w:fill="auto"/>
            <w:vAlign w:val="center"/>
          </w:tcPr>
          <w:p w:rsidR="00546122" w:rsidRDefault="00FA1383">
            <w:pPr>
              <w:widowControl/>
              <w:spacing w:line="240" w:lineRule="auto"/>
              <w:ind w:firstLineChars="0" w:firstLine="0"/>
              <w:jc w:val="left"/>
              <w:rPr>
                <w:color w:val="FF0000"/>
                <w:kern w:val="0"/>
                <w:sz w:val="21"/>
                <w:szCs w:val="21"/>
              </w:rPr>
            </w:pPr>
            <w:r>
              <w:rPr>
                <w:rFonts w:hint="eastAsia"/>
                <w:color w:val="000000" w:themeColor="text1"/>
                <w:kern w:val="0"/>
                <w:sz w:val="21"/>
                <w:szCs w:val="21"/>
              </w:rPr>
              <w:t>2024</w:t>
            </w:r>
            <w:r>
              <w:rPr>
                <w:rFonts w:hint="eastAsia"/>
                <w:color w:val="000000" w:themeColor="text1"/>
                <w:kern w:val="0"/>
                <w:sz w:val="21"/>
                <w:szCs w:val="21"/>
              </w:rPr>
              <w:t>年度</w:t>
            </w:r>
            <w:r>
              <w:rPr>
                <w:color w:val="000000" w:themeColor="text1"/>
                <w:kern w:val="0"/>
                <w:sz w:val="21"/>
                <w:szCs w:val="21"/>
              </w:rPr>
              <w:t>在市发改委组织的</w:t>
            </w:r>
            <w:r>
              <w:rPr>
                <w:rFonts w:hint="eastAsia"/>
                <w:color w:val="000000" w:themeColor="text1"/>
                <w:kern w:val="0"/>
                <w:sz w:val="21"/>
                <w:szCs w:val="21"/>
              </w:rPr>
              <w:t>要素评议活动，</w:t>
            </w:r>
            <w:r>
              <w:rPr>
                <w:color w:val="000000" w:themeColor="text1"/>
                <w:kern w:val="0"/>
                <w:sz w:val="21"/>
                <w:szCs w:val="21"/>
              </w:rPr>
              <w:t>中心在系统单位排名第一。</w:t>
            </w:r>
          </w:p>
        </w:tc>
      </w:tr>
      <w:tr w:rsidR="00546122">
        <w:trPr>
          <w:trHeight w:val="2026"/>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可持续发展能力</w:t>
            </w:r>
            <w:r>
              <w:rPr>
                <w:color w:val="000000"/>
                <w:kern w:val="0"/>
                <w:sz w:val="21"/>
                <w:szCs w:val="21"/>
              </w:rPr>
              <w:br/>
            </w:r>
            <w:r>
              <w:rPr>
                <w:color w:val="000000"/>
                <w:kern w:val="0"/>
                <w:sz w:val="21"/>
                <w:szCs w:val="21"/>
              </w:rPr>
              <w:t>（</w:t>
            </w:r>
            <w:r>
              <w:rPr>
                <w:color w:val="000000"/>
                <w:kern w:val="0"/>
                <w:sz w:val="21"/>
                <w:szCs w:val="21"/>
              </w:rPr>
              <w:t>5</w:t>
            </w:r>
            <w:r>
              <w:rPr>
                <w:color w:val="000000"/>
                <w:kern w:val="0"/>
                <w:sz w:val="21"/>
                <w:szCs w:val="21"/>
              </w:rPr>
              <w:t>分）</w:t>
            </w: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信息化建设情况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信息化建设情况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办公流程、业务开展、内控管理是否通过办公系统实现</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办公流程、业务开展均通过办公系统实现得</w:t>
            </w:r>
            <w:r>
              <w:rPr>
                <w:color w:val="000000"/>
                <w:kern w:val="0"/>
                <w:sz w:val="21"/>
                <w:szCs w:val="21"/>
              </w:rPr>
              <w:t>2</w:t>
            </w:r>
            <w:r>
              <w:rPr>
                <w:color w:val="000000"/>
                <w:kern w:val="0"/>
                <w:sz w:val="21"/>
                <w:szCs w:val="21"/>
              </w:rPr>
              <w:t>分，有欠缺或不符合条件的酌情扣分。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单位信息化建设健全，有独立的</w:t>
            </w:r>
            <w:r>
              <w:rPr>
                <w:color w:val="000000"/>
                <w:kern w:val="0"/>
                <w:sz w:val="21"/>
                <w:szCs w:val="21"/>
              </w:rPr>
              <w:t>OA</w:t>
            </w:r>
            <w:r>
              <w:rPr>
                <w:color w:val="000000"/>
                <w:kern w:val="0"/>
                <w:sz w:val="21"/>
                <w:szCs w:val="21"/>
              </w:rPr>
              <w:t>系统</w:t>
            </w:r>
          </w:p>
        </w:tc>
      </w:tr>
      <w:tr w:rsidR="00546122">
        <w:trPr>
          <w:trHeight w:val="3193"/>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人力资源建设情况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2</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人力资源建设情况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包括人才培养计划、人员选拔运用、激励措施。</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①</w:t>
            </w:r>
            <w:r>
              <w:rPr>
                <w:color w:val="000000"/>
                <w:kern w:val="0"/>
                <w:sz w:val="21"/>
                <w:szCs w:val="21"/>
              </w:rPr>
              <w:t>人力资源管理制度明确、选拔激励机制民主透明（</w:t>
            </w:r>
            <w:r>
              <w:rPr>
                <w:color w:val="000000"/>
                <w:kern w:val="0"/>
                <w:sz w:val="21"/>
                <w:szCs w:val="21"/>
              </w:rPr>
              <w:t>0.5</w:t>
            </w:r>
            <w:r>
              <w:rPr>
                <w:color w:val="000000"/>
                <w:kern w:val="0"/>
                <w:sz w:val="21"/>
                <w:szCs w:val="21"/>
              </w:rPr>
              <w:t>分）；</w:t>
            </w:r>
            <w:r>
              <w:rPr>
                <w:color w:val="000000"/>
                <w:kern w:val="0"/>
                <w:sz w:val="21"/>
                <w:szCs w:val="21"/>
              </w:rPr>
              <w:t>②</w:t>
            </w:r>
            <w:r>
              <w:rPr>
                <w:color w:val="000000"/>
                <w:kern w:val="0"/>
                <w:sz w:val="21"/>
                <w:szCs w:val="21"/>
              </w:rPr>
              <w:t>人员年龄、背景、专业分布合理均衡（</w:t>
            </w:r>
            <w:r>
              <w:rPr>
                <w:color w:val="000000"/>
                <w:kern w:val="0"/>
                <w:sz w:val="21"/>
                <w:szCs w:val="21"/>
              </w:rPr>
              <w:t>1</w:t>
            </w:r>
            <w:r>
              <w:rPr>
                <w:color w:val="000000"/>
                <w:kern w:val="0"/>
                <w:sz w:val="21"/>
                <w:szCs w:val="21"/>
              </w:rPr>
              <w:t>分）；</w:t>
            </w:r>
          </w:p>
          <w:p w:rsidR="00546122" w:rsidRDefault="00FA1383">
            <w:pPr>
              <w:widowControl/>
              <w:spacing w:line="240" w:lineRule="auto"/>
              <w:ind w:firstLineChars="0" w:firstLine="0"/>
              <w:jc w:val="left"/>
              <w:rPr>
                <w:color w:val="000000"/>
                <w:kern w:val="0"/>
                <w:sz w:val="21"/>
                <w:szCs w:val="21"/>
              </w:rPr>
            </w:pPr>
            <w:r>
              <w:rPr>
                <w:color w:val="000000"/>
                <w:kern w:val="0"/>
                <w:sz w:val="21"/>
                <w:szCs w:val="21"/>
              </w:rPr>
              <w:t>③</w:t>
            </w:r>
            <w:r>
              <w:rPr>
                <w:color w:val="000000"/>
                <w:kern w:val="0"/>
                <w:sz w:val="21"/>
                <w:szCs w:val="21"/>
              </w:rPr>
              <w:t>部门定期组织培训、团队建设、人才培养体系完善（</w:t>
            </w:r>
            <w:r>
              <w:rPr>
                <w:color w:val="000000"/>
                <w:kern w:val="0"/>
                <w:sz w:val="21"/>
                <w:szCs w:val="21"/>
              </w:rPr>
              <w:t>0.5</w:t>
            </w:r>
            <w:r>
              <w:rPr>
                <w:color w:val="000000"/>
                <w:kern w:val="0"/>
                <w:sz w:val="21"/>
                <w:szCs w:val="21"/>
              </w:rPr>
              <w:t>分）。以上项分别评分，各单项符合按给定分值得分，不符合酌情扣分，最高得</w:t>
            </w:r>
            <w:r>
              <w:rPr>
                <w:color w:val="000000"/>
                <w:kern w:val="0"/>
                <w:sz w:val="21"/>
                <w:szCs w:val="21"/>
              </w:rPr>
              <w:t>2</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2</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1</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宏观中心平均年龄</w:t>
            </w:r>
            <w:r>
              <w:rPr>
                <w:color w:val="000000"/>
                <w:kern w:val="0"/>
                <w:sz w:val="21"/>
                <w:szCs w:val="21"/>
              </w:rPr>
              <w:t>4</w:t>
            </w:r>
            <w:r>
              <w:rPr>
                <w:rFonts w:hint="eastAsia"/>
                <w:color w:val="000000"/>
                <w:kern w:val="0"/>
                <w:sz w:val="21"/>
                <w:szCs w:val="21"/>
              </w:rPr>
              <w:t>3</w:t>
            </w:r>
            <w:r>
              <w:rPr>
                <w:color w:val="000000"/>
                <w:kern w:val="0"/>
                <w:sz w:val="21"/>
                <w:szCs w:val="21"/>
              </w:rPr>
              <w:t>岁，具有中高级专业技术职称的有</w:t>
            </w:r>
            <w:r>
              <w:rPr>
                <w:color w:val="000000"/>
                <w:kern w:val="0"/>
                <w:sz w:val="21"/>
                <w:szCs w:val="21"/>
              </w:rPr>
              <w:t>1</w:t>
            </w:r>
            <w:r>
              <w:rPr>
                <w:rFonts w:hint="eastAsia"/>
                <w:color w:val="000000"/>
                <w:kern w:val="0"/>
                <w:sz w:val="21"/>
                <w:szCs w:val="21"/>
              </w:rPr>
              <w:t>9</w:t>
            </w:r>
            <w:r>
              <w:rPr>
                <w:color w:val="000000"/>
                <w:kern w:val="0"/>
                <w:sz w:val="21"/>
                <w:szCs w:val="21"/>
              </w:rPr>
              <w:t>人，其中</w:t>
            </w:r>
            <w:r>
              <w:rPr>
                <w:color w:val="000000"/>
                <w:kern w:val="0"/>
                <w:sz w:val="21"/>
                <w:szCs w:val="21"/>
              </w:rPr>
              <w:t>40</w:t>
            </w:r>
            <w:r>
              <w:rPr>
                <w:color w:val="000000"/>
                <w:kern w:val="0"/>
                <w:sz w:val="21"/>
                <w:szCs w:val="21"/>
              </w:rPr>
              <w:t>周岁以下的为</w:t>
            </w:r>
            <w:r>
              <w:rPr>
                <w:rFonts w:hint="eastAsia"/>
                <w:color w:val="000000"/>
                <w:kern w:val="0"/>
                <w:sz w:val="21"/>
                <w:szCs w:val="21"/>
              </w:rPr>
              <w:t>9</w:t>
            </w:r>
            <w:r>
              <w:rPr>
                <w:color w:val="000000"/>
                <w:kern w:val="0"/>
                <w:sz w:val="21"/>
                <w:szCs w:val="21"/>
              </w:rPr>
              <w:t>人，与同类智库机构相比平均年龄较大，青年专业技术人员较少，扣</w:t>
            </w:r>
            <w:r>
              <w:rPr>
                <w:color w:val="000000"/>
                <w:kern w:val="0"/>
                <w:sz w:val="21"/>
                <w:szCs w:val="21"/>
              </w:rPr>
              <w:t>1</w:t>
            </w:r>
            <w:r>
              <w:rPr>
                <w:color w:val="000000"/>
                <w:kern w:val="0"/>
                <w:sz w:val="21"/>
                <w:szCs w:val="21"/>
              </w:rPr>
              <w:t>分。</w:t>
            </w:r>
          </w:p>
        </w:tc>
      </w:tr>
      <w:tr w:rsidR="00546122">
        <w:trPr>
          <w:trHeight w:val="550"/>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部门创</w:t>
            </w:r>
            <w:r>
              <w:rPr>
                <w:color w:val="000000"/>
                <w:kern w:val="0"/>
                <w:sz w:val="21"/>
                <w:szCs w:val="21"/>
              </w:rPr>
              <w:lastRenderedPageBreak/>
              <w:t>新情况</w:t>
            </w:r>
          </w:p>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r>
              <w:rPr>
                <w:color w:val="000000"/>
                <w:kern w:val="0"/>
                <w:sz w:val="21"/>
                <w:szCs w:val="21"/>
              </w:rPr>
              <w:t>1</w:t>
            </w:r>
            <w:r>
              <w:rPr>
                <w:color w:val="000000"/>
                <w:kern w:val="0"/>
                <w:sz w:val="21"/>
                <w:szCs w:val="21"/>
              </w:rPr>
              <w:t>分）</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部门创</w:t>
            </w:r>
            <w:r>
              <w:rPr>
                <w:color w:val="000000"/>
                <w:kern w:val="0"/>
                <w:sz w:val="21"/>
                <w:szCs w:val="21"/>
              </w:rPr>
              <w:lastRenderedPageBreak/>
              <w:t>新情况</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lastRenderedPageBreak/>
              <w:t>包含制度创新、方法创新等。部门</w:t>
            </w:r>
            <w:r>
              <w:rPr>
                <w:color w:val="000000"/>
                <w:kern w:val="0"/>
                <w:sz w:val="21"/>
                <w:szCs w:val="21"/>
              </w:rPr>
              <w:lastRenderedPageBreak/>
              <w:t>（单位</w:t>
            </w:r>
            <w:r>
              <w:rPr>
                <w:color w:val="000000"/>
                <w:kern w:val="0"/>
                <w:sz w:val="21"/>
                <w:szCs w:val="21"/>
              </w:rPr>
              <w:t>)</w:t>
            </w:r>
            <w:r>
              <w:rPr>
                <w:color w:val="000000"/>
                <w:kern w:val="0"/>
                <w:sz w:val="21"/>
                <w:szCs w:val="21"/>
              </w:rPr>
              <w:t>需提供创新案例被官方媒体报道的佐证材料。</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lastRenderedPageBreak/>
              <w:t>开展制度</w:t>
            </w:r>
            <w:r>
              <w:rPr>
                <w:color w:val="000000"/>
                <w:kern w:val="0"/>
                <w:sz w:val="21"/>
                <w:szCs w:val="21"/>
              </w:rPr>
              <w:t>创新获工作方法创新，得</w:t>
            </w:r>
            <w:r>
              <w:rPr>
                <w:rFonts w:hint="eastAsia"/>
                <w:color w:val="000000"/>
                <w:kern w:val="0"/>
                <w:sz w:val="21"/>
                <w:szCs w:val="21"/>
              </w:rPr>
              <w:t>1</w:t>
            </w:r>
            <w:r>
              <w:rPr>
                <w:rFonts w:hint="eastAsia"/>
                <w:color w:val="000000"/>
                <w:kern w:val="0"/>
                <w:sz w:val="21"/>
                <w:szCs w:val="21"/>
              </w:rPr>
              <w:lastRenderedPageBreak/>
              <w:t>分</w:t>
            </w:r>
            <w:r>
              <w:rPr>
                <w:color w:val="000000"/>
                <w:kern w:val="0"/>
                <w:sz w:val="21"/>
                <w:szCs w:val="21"/>
              </w:rPr>
              <w:t>。</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lastRenderedPageBreak/>
              <w:t>1</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0</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rFonts w:hint="eastAsia"/>
                <w:color w:val="000000"/>
                <w:kern w:val="0"/>
                <w:sz w:val="21"/>
                <w:szCs w:val="21"/>
              </w:rPr>
              <w:t>无</w:t>
            </w:r>
            <w:r>
              <w:rPr>
                <w:color w:val="000000"/>
                <w:kern w:val="0"/>
                <w:sz w:val="21"/>
                <w:szCs w:val="21"/>
              </w:rPr>
              <w:t>创新案例被官方媒体报道</w:t>
            </w:r>
          </w:p>
        </w:tc>
      </w:tr>
      <w:tr w:rsidR="00546122">
        <w:trPr>
          <w:trHeight w:val="820"/>
        </w:trPr>
        <w:tc>
          <w:tcPr>
            <w:tcW w:w="349" w:type="pct"/>
            <w:vMerge w:val="restart"/>
            <w:shd w:val="clear" w:color="auto" w:fill="auto"/>
            <w:vAlign w:val="center"/>
          </w:tcPr>
          <w:p w:rsidR="00546122" w:rsidRDefault="00FA1383">
            <w:pPr>
              <w:widowControl/>
              <w:spacing w:line="240" w:lineRule="auto"/>
              <w:ind w:firstLineChars="0" w:firstLine="0"/>
              <w:jc w:val="center"/>
              <w:rPr>
                <w:color w:val="000000"/>
                <w:kern w:val="0"/>
                <w:sz w:val="21"/>
                <w:szCs w:val="21"/>
              </w:rPr>
            </w:pPr>
            <w:bookmarkStart w:id="12" w:name="_Hlk48218441"/>
            <w:r>
              <w:rPr>
                <w:color w:val="000000"/>
                <w:kern w:val="0"/>
                <w:sz w:val="21"/>
                <w:szCs w:val="21"/>
              </w:rPr>
              <w:lastRenderedPageBreak/>
              <w:t>加减分项</w:t>
            </w:r>
            <w:r>
              <w:rPr>
                <w:color w:val="000000"/>
                <w:kern w:val="0"/>
                <w:sz w:val="21"/>
                <w:szCs w:val="21"/>
              </w:rPr>
              <w:br/>
            </w:r>
            <w:r>
              <w:rPr>
                <w:color w:val="000000"/>
                <w:kern w:val="0"/>
                <w:sz w:val="21"/>
                <w:szCs w:val="21"/>
              </w:rPr>
              <w:t>（</w:t>
            </w:r>
            <w:r>
              <w:rPr>
                <w:color w:val="000000"/>
                <w:kern w:val="0"/>
                <w:sz w:val="21"/>
                <w:szCs w:val="21"/>
              </w:rPr>
              <w:t>5</w:t>
            </w:r>
            <w:r>
              <w:rPr>
                <w:color w:val="000000"/>
                <w:kern w:val="0"/>
                <w:sz w:val="21"/>
                <w:szCs w:val="21"/>
              </w:rPr>
              <w:t>分）</w:t>
            </w: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加分项</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荣誉嘉奖</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部门是否有受到国务院、省级、市级嘉奖。</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受到嘉奖得分，否则不得分。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rFonts w:hint="eastAsia"/>
                <w:color w:val="000000"/>
                <w:kern w:val="0"/>
                <w:sz w:val="21"/>
                <w:szCs w:val="21"/>
              </w:rPr>
              <w:t>5</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研究成果分别获得了省发改委</w:t>
            </w:r>
            <w:r>
              <w:rPr>
                <w:rFonts w:hint="eastAsia"/>
                <w:color w:val="000000"/>
                <w:kern w:val="0"/>
                <w:sz w:val="21"/>
                <w:szCs w:val="21"/>
              </w:rPr>
              <w:t>系统</w:t>
            </w:r>
            <w:r>
              <w:rPr>
                <w:color w:val="000000"/>
                <w:kern w:val="0"/>
                <w:sz w:val="21"/>
                <w:szCs w:val="21"/>
              </w:rPr>
              <w:t>优秀成果的嘉奖与表彰。</w:t>
            </w:r>
          </w:p>
        </w:tc>
      </w:tr>
      <w:bookmarkEnd w:id="12"/>
      <w:tr w:rsidR="00546122">
        <w:trPr>
          <w:trHeight w:val="567"/>
        </w:trPr>
        <w:tc>
          <w:tcPr>
            <w:tcW w:w="349" w:type="pct"/>
            <w:vMerge/>
            <w:vAlign w:val="center"/>
          </w:tcPr>
          <w:p w:rsidR="00546122" w:rsidRDefault="00546122">
            <w:pPr>
              <w:widowControl/>
              <w:spacing w:line="240" w:lineRule="auto"/>
              <w:ind w:firstLineChars="0" w:firstLine="0"/>
              <w:jc w:val="left"/>
              <w:rPr>
                <w:color w:val="000000"/>
                <w:kern w:val="0"/>
                <w:sz w:val="21"/>
                <w:szCs w:val="21"/>
              </w:rPr>
            </w:pPr>
          </w:p>
        </w:tc>
        <w:tc>
          <w:tcPr>
            <w:tcW w:w="34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减分项</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违法违纪</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部门（单位）或工作人员是否存在违法违纪现象。</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出现违法违纪情况，扣</w:t>
            </w:r>
            <w:r>
              <w:rPr>
                <w:color w:val="000000"/>
                <w:kern w:val="0"/>
                <w:sz w:val="21"/>
                <w:szCs w:val="21"/>
              </w:rPr>
              <w:t>5</w:t>
            </w:r>
            <w:r>
              <w:rPr>
                <w:color w:val="000000"/>
                <w:kern w:val="0"/>
                <w:sz w:val="21"/>
                <w:szCs w:val="21"/>
              </w:rPr>
              <w:t>分。</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w:t>
            </w:r>
          </w:p>
        </w:tc>
        <w:tc>
          <w:tcPr>
            <w:tcW w:w="219"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 xml:space="preserve">　</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r>
      <w:tr w:rsidR="00546122">
        <w:trPr>
          <w:trHeight w:val="290"/>
        </w:trPr>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总分</w:t>
            </w:r>
          </w:p>
        </w:tc>
        <w:tc>
          <w:tcPr>
            <w:tcW w:w="34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 xml:space="preserve">　</w:t>
            </w:r>
          </w:p>
        </w:tc>
        <w:tc>
          <w:tcPr>
            <w:tcW w:w="367" w:type="pct"/>
            <w:shd w:val="clear" w:color="auto" w:fill="auto"/>
            <w:vAlign w:val="center"/>
          </w:tcPr>
          <w:p w:rsidR="00546122" w:rsidRDefault="00FA1383">
            <w:pPr>
              <w:widowControl/>
              <w:spacing w:line="240" w:lineRule="auto"/>
              <w:ind w:firstLineChars="0" w:firstLine="0"/>
              <w:jc w:val="center"/>
              <w:rPr>
                <w:color w:val="000000"/>
                <w:kern w:val="0"/>
                <w:sz w:val="21"/>
                <w:szCs w:val="21"/>
              </w:rPr>
            </w:pPr>
            <w:r>
              <w:rPr>
                <w:color w:val="000000"/>
                <w:kern w:val="0"/>
                <w:sz w:val="21"/>
                <w:szCs w:val="21"/>
              </w:rPr>
              <w:t xml:space="preserve">　</w:t>
            </w:r>
          </w:p>
        </w:tc>
        <w:tc>
          <w:tcPr>
            <w:tcW w:w="1196"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c>
          <w:tcPr>
            <w:tcW w:w="1307"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kern w:val="0"/>
                <w:sz w:val="21"/>
                <w:szCs w:val="21"/>
              </w:rPr>
              <w:t>105</w:t>
            </w:r>
          </w:p>
        </w:tc>
        <w:tc>
          <w:tcPr>
            <w:tcW w:w="219" w:type="pct"/>
            <w:shd w:val="clear" w:color="auto" w:fill="auto"/>
            <w:vAlign w:val="center"/>
          </w:tcPr>
          <w:p w:rsidR="00546122" w:rsidRDefault="00FA1383">
            <w:pPr>
              <w:widowControl/>
              <w:spacing w:line="240" w:lineRule="auto"/>
              <w:ind w:firstLineChars="0" w:firstLine="0"/>
              <w:jc w:val="center"/>
              <w:rPr>
                <w:b/>
                <w:bCs/>
                <w:color w:val="000000"/>
                <w:kern w:val="0"/>
                <w:sz w:val="21"/>
                <w:szCs w:val="21"/>
              </w:rPr>
            </w:pPr>
            <w:r>
              <w:rPr>
                <w:b/>
                <w:bCs/>
                <w:color w:val="000000" w:themeColor="text1"/>
                <w:kern w:val="0"/>
                <w:sz w:val="21"/>
                <w:szCs w:val="21"/>
              </w:rPr>
              <w:t>9</w:t>
            </w:r>
            <w:r>
              <w:rPr>
                <w:rFonts w:hint="eastAsia"/>
                <w:b/>
                <w:bCs/>
                <w:color w:val="000000" w:themeColor="text1"/>
                <w:kern w:val="0"/>
                <w:sz w:val="21"/>
                <w:szCs w:val="21"/>
              </w:rPr>
              <w:t>7</w:t>
            </w:r>
            <w:r>
              <w:rPr>
                <w:rFonts w:hint="eastAsia"/>
                <w:b/>
                <w:bCs/>
                <w:color w:val="000000" w:themeColor="text1"/>
                <w:kern w:val="0"/>
                <w:sz w:val="21"/>
                <w:szCs w:val="21"/>
              </w:rPr>
              <w:t>.5</w:t>
            </w:r>
          </w:p>
        </w:tc>
        <w:tc>
          <w:tcPr>
            <w:tcW w:w="993" w:type="pct"/>
            <w:shd w:val="clear" w:color="auto" w:fill="auto"/>
            <w:vAlign w:val="center"/>
          </w:tcPr>
          <w:p w:rsidR="00546122" w:rsidRDefault="00FA1383">
            <w:pPr>
              <w:widowControl/>
              <w:spacing w:line="240" w:lineRule="auto"/>
              <w:ind w:firstLineChars="0" w:firstLine="0"/>
              <w:jc w:val="left"/>
              <w:rPr>
                <w:color w:val="000000"/>
                <w:kern w:val="0"/>
                <w:sz w:val="21"/>
                <w:szCs w:val="21"/>
              </w:rPr>
            </w:pPr>
            <w:r>
              <w:rPr>
                <w:color w:val="000000"/>
                <w:kern w:val="0"/>
                <w:sz w:val="21"/>
                <w:szCs w:val="21"/>
              </w:rPr>
              <w:t xml:space="preserve">　</w:t>
            </w:r>
          </w:p>
        </w:tc>
      </w:tr>
    </w:tbl>
    <w:p w:rsidR="00546122" w:rsidRDefault="00546122">
      <w:pPr>
        <w:ind w:firstLineChars="0" w:firstLine="0"/>
      </w:pPr>
    </w:p>
    <w:sectPr w:rsidR="00546122" w:rsidSect="00546122">
      <w:pgSz w:w="16838" w:h="11906" w:orient="landscape"/>
      <w:pgMar w:top="1803" w:right="1440" w:bottom="1803" w:left="1440" w:header="851" w:footer="992" w:gutter="0"/>
      <w:cols w:space="425"/>
      <w:vAlign w:val="center"/>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383" w:rsidRDefault="00FA1383">
      <w:pPr>
        <w:spacing w:line="240" w:lineRule="auto"/>
        <w:ind w:firstLine="560"/>
      </w:pPr>
      <w:r>
        <w:separator/>
      </w:r>
    </w:p>
  </w:endnote>
  <w:endnote w:type="continuationSeparator" w:id="1">
    <w:p w:rsidR="00FA1383" w:rsidRDefault="00FA1383">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852038C-D4DB-47EB-B878-68E2D0A26B0D}"/>
    <w:embedBold r:id="rId2" w:subsetted="1" w:fontKey="{624DE522-8566-4042-B296-37E70C4605D2}"/>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embedBold r:id="rId3" w:subsetted="1" w:fontKey="{B0A15725-F1F8-494E-A4D6-F5BA97D4D944}"/>
  </w:font>
  <w:font w:name="Cambria">
    <w:panose1 w:val="02040503050406030204"/>
    <w:charset w:val="00"/>
    <w:family w:val="roman"/>
    <w:pitch w:val="variable"/>
    <w:sig w:usb0="E00006FF" w:usb1="400004FF" w:usb2="00000000" w:usb3="00000000" w:csb0="0000019F" w:csb1="00000000"/>
  </w:font>
  <w:font w:name="等线">
    <w:panose1 w:val="02010600030101010101"/>
    <w:charset w:val="86"/>
    <w:family w:val="auto"/>
    <w:pitch w:val="variable"/>
    <w:sig w:usb0="A00002BF" w:usb1="38CF7CFA" w:usb2="00000016" w:usb3="00000000" w:csb0="0004000F" w:csb1="00000000"/>
    <w:embedBold r:id="rId4" w:subsetted="1" w:fontKey="{AF627A1D-B189-4271-A227-EBC77F90BEFE}"/>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5" w:subsetted="1" w:fontKey="{48038D20-89A2-4468-B495-D0B02F54ED46}"/>
  </w:font>
  <w:font w:name="方正楷体_GBK">
    <w:panose1 w:val="03000509000000000000"/>
    <w:charset w:val="86"/>
    <w:family w:val="script"/>
    <w:pitch w:val="fixed"/>
    <w:sig w:usb0="00000001" w:usb1="080E0000" w:usb2="00000010" w:usb3="00000000" w:csb0="00040000" w:csb1="00000000"/>
    <w:embedRegular r:id="rId6" w:subsetted="1" w:fontKey="{AFE3F9DE-4080-4351-A6BE-E462F9DD96CC}"/>
    <w:embedBold r:id="rId7" w:subsetted="1" w:fontKey="{D78096D2-A8C1-47E2-9643-B6DA9B845590}"/>
  </w:font>
  <w:font w:name="方正公文小标宋">
    <w:charset w:val="86"/>
    <w:family w:val="auto"/>
    <w:pitch w:val="default"/>
    <w:sig w:usb0="A00002BF" w:usb1="38CF7CFA" w:usb2="00000016" w:usb3="00000000" w:csb0="00040001" w:csb1="00000000"/>
    <w:embedRegular r:id="rId8" w:subsetted="1" w:fontKey="{1295D23C-50B0-474E-828E-579BE37D138F}"/>
  </w:font>
  <w:font w:name="华文宋体">
    <w:altName w:val="宋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9" w:subsetted="1" w:fontKey="{E289CD7F-6C05-4952-AF72-F067CF730F27}"/>
  </w:font>
  <w:font w:name="方正仿宋_GBK">
    <w:panose1 w:val="03000509000000000000"/>
    <w:charset w:val="86"/>
    <w:family w:val="script"/>
    <w:pitch w:val="fixed"/>
    <w:sig w:usb0="00000001" w:usb1="080E0000" w:usb2="00000010" w:usb3="00000000" w:csb0="00040000" w:csb1="00000000"/>
    <w:embedRegular r:id="rId10" w:subsetted="1" w:fontKey="{B018E360-ECEA-491B-884E-832B9910EA3E}"/>
    <w:embedBold r:id="rId11" w:subsetted="1" w:fontKey="{4D36DFD2-C25E-4606-A484-47CFC05FBCD0}"/>
  </w:font>
  <w:font w:name="方正仿宋_GB2312">
    <w:charset w:val="86"/>
    <w:family w:val="auto"/>
    <w:pitch w:val="default"/>
    <w:sig w:usb0="A00002BF" w:usb1="184F6CFA" w:usb2="00000012" w:usb3="00000000" w:csb0="00040001" w:csb1="00000000"/>
    <w:embedRegular r:id="rId12" w:subsetted="1" w:fontKey="{8865EBF8-DB19-438B-BC8E-4629CED34E0F}"/>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383" w:rsidRDefault="00FA1383">
      <w:pPr>
        <w:ind w:firstLine="560"/>
      </w:pPr>
      <w:r>
        <w:separator/>
      </w:r>
    </w:p>
  </w:footnote>
  <w:footnote w:type="continuationSeparator" w:id="1">
    <w:p w:rsidR="00FA1383" w:rsidRDefault="00FA1383">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22" w:rsidRDefault="00546122">
    <w:pPr>
      <w:pStyle w:val="a8"/>
      <w:pBdr>
        <w:bottom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embedTrueTypeFonts/>
  <w:saveSubsetFonts/>
  <w:bordersDoNotSurroundHeader/>
  <w:bordersDoNotSurroundFooter/>
  <w:defaultTabStop w:val="420"/>
  <w:drawingGridHorizontalSpacing w:val="140"/>
  <w:drawingGridVerticalSpacing w:val="381"/>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M3ODc1YmQxYTIzYmI2NjI5MzIxZWZjOGM3OTg4NDQifQ=="/>
  </w:docVars>
  <w:rsids>
    <w:rsidRoot w:val="0054080C"/>
    <w:rsid w:val="00002BDE"/>
    <w:rsid w:val="00014150"/>
    <w:rsid w:val="00015D85"/>
    <w:rsid w:val="00027FC8"/>
    <w:rsid w:val="00043325"/>
    <w:rsid w:val="00050562"/>
    <w:rsid w:val="0005488D"/>
    <w:rsid w:val="00056420"/>
    <w:rsid w:val="0005732D"/>
    <w:rsid w:val="00065A2F"/>
    <w:rsid w:val="00067F20"/>
    <w:rsid w:val="000B4714"/>
    <w:rsid w:val="000D443E"/>
    <w:rsid w:val="000D5D55"/>
    <w:rsid w:val="000E170F"/>
    <w:rsid w:val="000E2C4C"/>
    <w:rsid w:val="000E4546"/>
    <w:rsid w:val="000F0236"/>
    <w:rsid w:val="00103B1C"/>
    <w:rsid w:val="00127E27"/>
    <w:rsid w:val="0013092A"/>
    <w:rsid w:val="00135665"/>
    <w:rsid w:val="001550EF"/>
    <w:rsid w:val="0017096A"/>
    <w:rsid w:val="00176D60"/>
    <w:rsid w:val="0018697F"/>
    <w:rsid w:val="001A3DFE"/>
    <w:rsid w:val="001B4DBC"/>
    <w:rsid w:val="001C1D78"/>
    <w:rsid w:val="001C6D98"/>
    <w:rsid w:val="001C71CE"/>
    <w:rsid w:val="001D1B86"/>
    <w:rsid w:val="001D58B7"/>
    <w:rsid w:val="001E3345"/>
    <w:rsid w:val="001F27E0"/>
    <w:rsid w:val="001F3013"/>
    <w:rsid w:val="001F6E1E"/>
    <w:rsid w:val="002071D8"/>
    <w:rsid w:val="0021396B"/>
    <w:rsid w:val="00217879"/>
    <w:rsid w:val="00232C07"/>
    <w:rsid w:val="00244014"/>
    <w:rsid w:val="002528F5"/>
    <w:rsid w:val="00281D5A"/>
    <w:rsid w:val="00282A19"/>
    <w:rsid w:val="002A1564"/>
    <w:rsid w:val="002A7D88"/>
    <w:rsid w:val="002B2B3D"/>
    <w:rsid w:val="002C780F"/>
    <w:rsid w:val="002D4A3B"/>
    <w:rsid w:val="002D584B"/>
    <w:rsid w:val="002E345F"/>
    <w:rsid w:val="002E45F7"/>
    <w:rsid w:val="002E5ABF"/>
    <w:rsid w:val="002E725A"/>
    <w:rsid w:val="002F327B"/>
    <w:rsid w:val="003227DB"/>
    <w:rsid w:val="003347BC"/>
    <w:rsid w:val="00341A65"/>
    <w:rsid w:val="00342F39"/>
    <w:rsid w:val="0038232A"/>
    <w:rsid w:val="00384DCD"/>
    <w:rsid w:val="003A26B0"/>
    <w:rsid w:val="003A4B55"/>
    <w:rsid w:val="003A69CE"/>
    <w:rsid w:val="003B0D68"/>
    <w:rsid w:val="003B2193"/>
    <w:rsid w:val="003B50C1"/>
    <w:rsid w:val="003B75DD"/>
    <w:rsid w:val="003C2B5F"/>
    <w:rsid w:val="003C4E5E"/>
    <w:rsid w:val="003D0FB4"/>
    <w:rsid w:val="003D67C4"/>
    <w:rsid w:val="003E04D7"/>
    <w:rsid w:val="003F0632"/>
    <w:rsid w:val="003F07AE"/>
    <w:rsid w:val="003F61F5"/>
    <w:rsid w:val="00401BC9"/>
    <w:rsid w:val="004075DB"/>
    <w:rsid w:val="00415D65"/>
    <w:rsid w:val="0042004A"/>
    <w:rsid w:val="00427140"/>
    <w:rsid w:val="00431164"/>
    <w:rsid w:val="00443F87"/>
    <w:rsid w:val="00496D44"/>
    <w:rsid w:val="004970D9"/>
    <w:rsid w:val="004B223D"/>
    <w:rsid w:val="004D0F53"/>
    <w:rsid w:val="004D153C"/>
    <w:rsid w:val="004D61AA"/>
    <w:rsid w:val="004D7EC1"/>
    <w:rsid w:val="004F3C6B"/>
    <w:rsid w:val="004F6186"/>
    <w:rsid w:val="005226D8"/>
    <w:rsid w:val="00537735"/>
    <w:rsid w:val="005379C9"/>
    <w:rsid w:val="0054080C"/>
    <w:rsid w:val="00542D0B"/>
    <w:rsid w:val="00546122"/>
    <w:rsid w:val="00552CCC"/>
    <w:rsid w:val="005633DF"/>
    <w:rsid w:val="00563456"/>
    <w:rsid w:val="00572CE1"/>
    <w:rsid w:val="00584F52"/>
    <w:rsid w:val="00590E16"/>
    <w:rsid w:val="005943B8"/>
    <w:rsid w:val="00597966"/>
    <w:rsid w:val="005A0400"/>
    <w:rsid w:val="005A6FB7"/>
    <w:rsid w:val="005A75C1"/>
    <w:rsid w:val="005B055F"/>
    <w:rsid w:val="005C139E"/>
    <w:rsid w:val="005C2D56"/>
    <w:rsid w:val="005E1E78"/>
    <w:rsid w:val="005F6502"/>
    <w:rsid w:val="00602B4D"/>
    <w:rsid w:val="0060389C"/>
    <w:rsid w:val="00610CA2"/>
    <w:rsid w:val="00615AC9"/>
    <w:rsid w:val="00622AB0"/>
    <w:rsid w:val="006247C0"/>
    <w:rsid w:val="00642F0A"/>
    <w:rsid w:val="00644378"/>
    <w:rsid w:val="006561D8"/>
    <w:rsid w:val="00675975"/>
    <w:rsid w:val="00686EC7"/>
    <w:rsid w:val="00693E53"/>
    <w:rsid w:val="006B11DB"/>
    <w:rsid w:val="006B2BA0"/>
    <w:rsid w:val="006B3C8F"/>
    <w:rsid w:val="006B6422"/>
    <w:rsid w:val="006C2960"/>
    <w:rsid w:val="006D2E3B"/>
    <w:rsid w:val="006D5D00"/>
    <w:rsid w:val="006E1FBA"/>
    <w:rsid w:val="006E316D"/>
    <w:rsid w:val="006F343E"/>
    <w:rsid w:val="00702328"/>
    <w:rsid w:val="00717377"/>
    <w:rsid w:val="0072008C"/>
    <w:rsid w:val="00720DC5"/>
    <w:rsid w:val="007217F7"/>
    <w:rsid w:val="00726E76"/>
    <w:rsid w:val="00740BBB"/>
    <w:rsid w:val="007438E3"/>
    <w:rsid w:val="007474DD"/>
    <w:rsid w:val="00752323"/>
    <w:rsid w:val="00760937"/>
    <w:rsid w:val="0078623B"/>
    <w:rsid w:val="00790D63"/>
    <w:rsid w:val="00790E96"/>
    <w:rsid w:val="007A1884"/>
    <w:rsid w:val="007A2062"/>
    <w:rsid w:val="007A4965"/>
    <w:rsid w:val="007A6595"/>
    <w:rsid w:val="007C4CDF"/>
    <w:rsid w:val="007D659B"/>
    <w:rsid w:val="007E075F"/>
    <w:rsid w:val="007E3B17"/>
    <w:rsid w:val="007E3BAD"/>
    <w:rsid w:val="00800564"/>
    <w:rsid w:val="00801C85"/>
    <w:rsid w:val="00804DEF"/>
    <w:rsid w:val="008079E1"/>
    <w:rsid w:val="00827578"/>
    <w:rsid w:val="00842B41"/>
    <w:rsid w:val="008431D9"/>
    <w:rsid w:val="00844483"/>
    <w:rsid w:val="0084580C"/>
    <w:rsid w:val="00845F57"/>
    <w:rsid w:val="00851627"/>
    <w:rsid w:val="00853B43"/>
    <w:rsid w:val="00854D8D"/>
    <w:rsid w:val="0086127E"/>
    <w:rsid w:val="008636DE"/>
    <w:rsid w:val="008713F7"/>
    <w:rsid w:val="00875382"/>
    <w:rsid w:val="0088500C"/>
    <w:rsid w:val="008C541A"/>
    <w:rsid w:val="008C751C"/>
    <w:rsid w:val="008D1515"/>
    <w:rsid w:val="008D2D90"/>
    <w:rsid w:val="008E0F05"/>
    <w:rsid w:val="008F11CC"/>
    <w:rsid w:val="00903639"/>
    <w:rsid w:val="009074A5"/>
    <w:rsid w:val="00907F61"/>
    <w:rsid w:val="00913B70"/>
    <w:rsid w:val="00923BE0"/>
    <w:rsid w:val="00924EDF"/>
    <w:rsid w:val="009327A5"/>
    <w:rsid w:val="0093782D"/>
    <w:rsid w:val="009378C9"/>
    <w:rsid w:val="00940EC9"/>
    <w:rsid w:val="00952E2D"/>
    <w:rsid w:val="00971A96"/>
    <w:rsid w:val="009841C6"/>
    <w:rsid w:val="00984A4C"/>
    <w:rsid w:val="00986590"/>
    <w:rsid w:val="00991D17"/>
    <w:rsid w:val="00994F0B"/>
    <w:rsid w:val="009A207C"/>
    <w:rsid w:val="009A6C18"/>
    <w:rsid w:val="009B476A"/>
    <w:rsid w:val="009B4CC1"/>
    <w:rsid w:val="009C1544"/>
    <w:rsid w:val="009C3EB8"/>
    <w:rsid w:val="009C5C07"/>
    <w:rsid w:val="009C69ED"/>
    <w:rsid w:val="009D031A"/>
    <w:rsid w:val="009F2C73"/>
    <w:rsid w:val="009F418A"/>
    <w:rsid w:val="009F55BD"/>
    <w:rsid w:val="009F642B"/>
    <w:rsid w:val="00A02667"/>
    <w:rsid w:val="00A12D40"/>
    <w:rsid w:val="00A24BFE"/>
    <w:rsid w:val="00A26EAF"/>
    <w:rsid w:val="00A31B84"/>
    <w:rsid w:val="00A37B73"/>
    <w:rsid w:val="00A47D54"/>
    <w:rsid w:val="00A502A3"/>
    <w:rsid w:val="00A56A91"/>
    <w:rsid w:val="00A601DE"/>
    <w:rsid w:val="00A63A28"/>
    <w:rsid w:val="00A64297"/>
    <w:rsid w:val="00A652D5"/>
    <w:rsid w:val="00A804E7"/>
    <w:rsid w:val="00A80C34"/>
    <w:rsid w:val="00A84079"/>
    <w:rsid w:val="00A9685A"/>
    <w:rsid w:val="00AA0508"/>
    <w:rsid w:val="00AA29A2"/>
    <w:rsid w:val="00AA5BDF"/>
    <w:rsid w:val="00AB17DD"/>
    <w:rsid w:val="00AB5EBE"/>
    <w:rsid w:val="00AC0ABF"/>
    <w:rsid w:val="00AC61A4"/>
    <w:rsid w:val="00AD65E8"/>
    <w:rsid w:val="00AF7B31"/>
    <w:rsid w:val="00B3062D"/>
    <w:rsid w:val="00B32CE7"/>
    <w:rsid w:val="00B4333B"/>
    <w:rsid w:val="00B45683"/>
    <w:rsid w:val="00B51598"/>
    <w:rsid w:val="00B65FF9"/>
    <w:rsid w:val="00B90F44"/>
    <w:rsid w:val="00B9444A"/>
    <w:rsid w:val="00BA3FFE"/>
    <w:rsid w:val="00BC1D32"/>
    <w:rsid w:val="00BC51EC"/>
    <w:rsid w:val="00BD03C6"/>
    <w:rsid w:val="00BD27F4"/>
    <w:rsid w:val="00BE1D38"/>
    <w:rsid w:val="00BE7B92"/>
    <w:rsid w:val="00C02126"/>
    <w:rsid w:val="00C05464"/>
    <w:rsid w:val="00C31D9B"/>
    <w:rsid w:val="00C347A8"/>
    <w:rsid w:val="00C621CA"/>
    <w:rsid w:val="00C62A5B"/>
    <w:rsid w:val="00C64CC0"/>
    <w:rsid w:val="00C7528C"/>
    <w:rsid w:val="00C7561B"/>
    <w:rsid w:val="00C8189E"/>
    <w:rsid w:val="00C918DD"/>
    <w:rsid w:val="00CA156F"/>
    <w:rsid w:val="00CA1706"/>
    <w:rsid w:val="00CA5EED"/>
    <w:rsid w:val="00CB0F02"/>
    <w:rsid w:val="00CF4417"/>
    <w:rsid w:val="00CF4D5E"/>
    <w:rsid w:val="00CF7A07"/>
    <w:rsid w:val="00D02A35"/>
    <w:rsid w:val="00D03019"/>
    <w:rsid w:val="00D11B8C"/>
    <w:rsid w:val="00D13AA9"/>
    <w:rsid w:val="00D259B3"/>
    <w:rsid w:val="00D360FE"/>
    <w:rsid w:val="00D442A3"/>
    <w:rsid w:val="00D65440"/>
    <w:rsid w:val="00D67953"/>
    <w:rsid w:val="00D83379"/>
    <w:rsid w:val="00D86396"/>
    <w:rsid w:val="00DA4319"/>
    <w:rsid w:val="00DA6C4D"/>
    <w:rsid w:val="00DB2D48"/>
    <w:rsid w:val="00DB2D8A"/>
    <w:rsid w:val="00DC316A"/>
    <w:rsid w:val="00DD045C"/>
    <w:rsid w:val="00DD36B5"/>
    <w:rsid w:val="00DD5EEF"/>
    <w:rsid w:val="00DF3786"/>
    <w:rsid w:val="00DF412C"/>
    <w:rsid w:val="00DF65C3"/>
    <w:rsid w:val="00E067C0"/>
    <w:rsid w:val="00E076B5"/>
    <w:rsid w:val="00E13E91"/>
    <w:rsid w:val="00E15E55"/>
    <w:rsid w:val="00E25117"/>
    <w:rsid w:val="00E4614F"/>
    <w:rsid w:val="00E72579"/>
    <w:rsid w:val="00E73752"/>
    <w:rsid w:val="00E73A21"/>
    <w:rsid w:val="00E91B8A"/>
    <w:rsid w:val="00E9300C"/>
    <w:rsid w:val="00E93106"/>
    <w:rsid w:val="00EB0781"/>
    <w:rsid w:val="00EB38C2"/>
    <w:rsid w:val="00ED79F8"/>
    <w:rsid w:val="00ED7AEA"/>
    <w:rsid w:val="00EF2DB6"/>
    <w:rsid w:val="00F05A83"/>
    <w:rsid w:val="00F36CBC"/>
    <w:rsid w:val="00F43EE3"/>
    <w:rsid w:val="00F46C9F"/>
    <w:rsid w:val="00F56191"/>
    <w:rsid w:val="00F60788"/>
    <w:rsid w:val="00F61C88"/>
    <w:rsid w:val="00F61E13"/>
    <w:rsid w:val="00F634E9"/>
    <w:rsid w:val="00F73189"/>
    <w:rsid w:val="00F95388"/>
    <w:rsid w:val="00FA1383"/>
    <w:rsid w:val="00FB329E"/>
    <w:rsid w:val="00FB52B7"/>
    <w:rsid w:val="00FB617F"/>
    <w:rsid w:val="00FB7FA5"/>
    <w:rsid w:val="00FD26A0"/>
    <w:rsid w:val="00FD3376"/>
    <w:rsid w:val="00FE28DA"/>
    <w:rsid w:val="00FE57ED"/>
    <w:rsid w:val="00FF3BF4"/>
    <w:rsid w:val="01AA436F"/>
    <w:rsid w:val="01C30054"/>
    <w:rsid w:val="025E01BD"/>
    <w:rsid w:val="0314342C"/>
    <w:rsid w:val="039E0975"/>
    <w:rsid w:val="04F35664"/>
    <w:rsid w:val="054E3E3F"/>
    <w:rsid w:val="0572773B"/>
    <w:rsid w:val="0617316D"/>
    <w:rsid w:val="07373BD6"/>
    <w:rsid w:val="07487DBA"/>
    <w:rsid w:val="079337C6"/>
    <w:rsid w:val="08B7185B"/>
    <w:rsid w:val="096B4B4B"/>
    <w:rsid w:val="09A7535F"/>
    <w:rsid w:val="09D92F4C"/>
    <w:rsid w:val="0B810FFD"/>
    <w:rsid w:val="0C5255F7"/>
    <w:rsid w:val="0D287331"/>
    <w:rsid w:val="0D2C544C"/>
    <w:rsid w:val="0D446929"/>
    <w:rsid w:val="0D6D6AD2"/>
    <w:rsid w:val="0E7B194E"/>
    <w:rsid w:val="0F43673C"/>
    <w:rsid w:val="0F6D1704"/>
    <w:rsid w:val="0F73302B"/>
    <w:rsid w:val="10392F8B"/>
    <w:rsid w:val="10537DB7"/>
    <w:rsid w:val="113A29A9"/>
    <w:rsid w:val="11F148BE"/>
    <w:rsid w:val="12F07A1A"/>
    <w:rsid w:val="131713D2"/>
    <w:rsid w:val="13583FE1"/>
    <w:rsid w:val="13885FD5"/>
    <w:rsid w:val="13CC7567"/>
    <w:rsid w:val="146F0FA4"/>
    <w:rsid w:val="14DA70CC"/>
    <w:rsid w:val="16B65014"/>
    <w:rsid w:val="17161FEA"/>
    <w:rsid w:val="19086B84"/>
    <w:rsid w:val="190D54B2"/>
    <w:rsid w:val="19D229ED"/>
    <w:rsid w:val="1A322A99"/>
    <w:rsid w:val="1A882EA5"/>
    <w:rsid w:val="1B0911B7"/>
    <w:rsid w:val="1E682614"/>
    <w:rsid w:val="1EC041AD"/>
    <w:rsid w:val="209542FA"/>
    <w:rsid w:val="21C765E8"/>
    <w:rsid w:val="221B1439"/>
    <w:rsid w:val="22C568FD"/>
    <w:rsid w:val="23C7072C"/>
    <w:rsid w:val="243B61F5"/>
    <w:rsid w:val="24D6145B"/>
    <w:rsid w:val="251E1659"/>
    <w:rsid w:val="253001AA"/>
    <w:rsid w:val="25406624"/>
    <w:rsid w:val="260947E3"/>
    <w:rsid w:val="26105996"/>
    <w:rsid w:val="273571C2"/>
    <w:rsid w:val="275161CC"/>
    <w:rsid w:val="275D6B12"/>
    <w:rsid w:val="27DB1F0E"/>
    <w:rsid w:val="27F61509"/>
    <w:rsid w:val="28CD01F7"/>
    <w:rsid w:val="28F7367E"/>
    <w:rsid w:val="2914542C"/>
    <w:rsid w:val="296F5B2B"/>
    <w:rsid w:val="299A2753"/>
    <w:rsid w:val="2A433B40"/>
    <w:rsid w:val="2AD9592D"/>
    <w:rsid w:val="2B1B4883"/>
    <w:rsid w:val="2B227897"/>
    <w:rsid w:val="2C46226B"/>
    <w:rsid w:val="2D063533"/>
    <w:rsid w:val="2F2F1C10"/>
    <w:rsid w:val="2F920DA6"/>
    <w:rsid w:val="314C3404"/>
    <w:rsid w:val="3185025B"/>
    <w:rsid w:val="31A03D07"/>
    <w:rsid w:val="31CA3C77"/>
    <w:rsid w:val="34887D18"/>
    <w:rsid w:val="35CC40B8"/>
    <w:rsid w:val="36D671C5"/>
    <w:rsid w:val="36FC7E32"/>
    <w:rsid w:val="370E4508"/>
    <w:rsid w:val="37C76D50"/>
    <w:rsid w:val="388E03AB"/>
    <w:rsid w:val="38B215B2"/>
    <w:rsid w:val="392921E9"/>
    <w:rsid w:val="39544F85"/>
    <w:rsid w:val="3A5255AB"/>
    <w:rsid w:val="3BA40D5C"/>
    <w:rsid w:val="3DB04CFF"/>
    <w:rsid w:val="3DDC72D5"/>
    <w:rsid w:val="3DDE60A1"/>
    <w:rsid w:val="3E5A453B"/>
    <w:rsid w:val="3F3828D7"/>
    <w:rsid w:val="3F661CE1"/>
    <w:rsid w:val="40167199"/>
    <w:rsid w:val="406D4249"/>
    <w:rsid w:val="40D75718"/>
    <w:rsid w:val="419E2A56"/>
    <w:rsid w:val="43344580"/>
    <w:rsid w:val="43524520"/>
    <w:rsid w:val="4518093A"/>
    <w:rsid w:val="4525273F"/>
    <w:rsid w:val="46CA7033"/>
    <w:rsid w:val="4874505C"/>
    <w:rsid w:val="4A181912"/>
    <w:rsid w:val="4A26732F"/>
    <w:rsid w:val="4C6F28F3"/>
    <w:rsid w:val="4C8A6F72"/>
    <w:rsid w:val="4D883DF4"/>
    <w:rsid w:val="4DC56099"/>
    <w:rsid w:val="4F0B2C93"/>
    <w:rsid w:val="4F681DFD"/>
    <w:rsid w:val="4FAE2B9E"/>
    <w:rsid w:val="4FCA0E8E"/>
    <w:rsid w:val="512B45B0"/>
    <w:rsid w:val="51AB5CB7"/>
    <w:rsid w:val="523D1ACD"/>
    <w:rsid w:val="52843CC9"/>
    <w:rsid w:val="52EF3383"/>
    <w:rsid w:val="52F715A0"/>
    <w:rsid w:val="53194800"/>
    <w:rsid w:val="539D0359"/>
    <w:rsid w:val="557611AD"/>
    <w:rsid w:val="558F673C"/>
    <w:rsid w:val="565F3DA6"/>
    <w:rsid w:val="571A2511"/>
    <w:rsid w:val="57CB01D6"/>
    <w:rsid w:val="57F04105"/>
    <w:rsid w:val="58673123"/>
    <w:rsid w:val="58CF7AA5"/>
    <w:rsid w:val="5A8D0BA7"/>
    <w:rsid w:val="5AFF28B9"/>
    <w:rsid w:val="5C0E6897"/>
    <w:rsid w:val="5C73646F"/>
    <w:rsid w:val="5CCA7E92"/>
    <w:rsid w:val="5DD503A4"/>
    <w:rsid w:val="5DDE2F2E"/>
    <w:rsid w:val="5DE51034"/>
    <w:rsid w:val="5DEE7A70"/>
    <w:rsid w:val="5E435D5B"/>
    <w:rsid w:val="5F1A3C02"/>
    <w:rsid w:val="60194C14"/>
    <w:rsid w:val="608C19DA"/>
    <w:rsid w:val="61014AAE"/>
    <w:rsid w:val="619F63DC"/>
    <w:rsid w:val="624C5984"/>
    <w:rsid w:val="62AC48C9"/>
    <w:rsid w:val="62B15989"/>
    <w:rsid w:val="635377F8"/>
    <w:rsid w:val="64262FF7"/>
    <w:rsid w:val="649952F4"/>
    <w:rsid w:val="64C73A7E"/>
    <w:rsid w:val="656D4570"/>
    <w:rsid w:val="661F163F"/>
    <w:rsid w:val="66504CC7"/>
    <w:rsid w:val="669507C7"/>
    <w:rsid w:val="67904FD3"/>
    <w:rsid w:val="68BA58C9"/>
    <w:rsid w:val="6A4964A7"/>
    <w:rsid w:val="6B951F6B"/>
    <w:rsid w:val="6B9B3CED"/>
    <w:rsid w:val="6C377D3B"/>
    <w:rsid w:val="6CEA3C12"/>
    <w:rsid w:val="6EC072F8"/>
    <w:rsid w:val="703B21CF"/>
    <w:rsid w:val="70570522"/>
    <w:rsid w:val="70F25C28"/>
    <w:rsid w:val="71BB01C9"/>
    <w:rsid w:val="725E46A9"/>
    <w:rsid w:val="73715ECA"/>
    <w:rsid w:val="737C78ED"/>
    <w:rsid w:val="73B70FE1"/>
    <w:rsid w:val="74D65B9E"/>
    <w:rsid w:val="75A4241A"/>
    <w:rsid w:val="75D94B83"/>
    <w:rsid w:val="75FD42FA"/>
    <w:rsid w:val="77F95304"/>
    <w:rsid w:val="788D4A0D"/>
    <w:rsid w:val="79A1114F"/>
    <w:rsid w:val="7AFD13DE"/>
    <w:rsid w:val="7D4704DD"/>
    <w:rsid w:val="7DC51E91"/>
    <w:rsid w:val="7E2D6676"/>
    <w:rsid w:val="7F883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oa heading" w:semiHidden="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122"/>
    <w:pPr>
      <w:widowControl w:val="0"/>
      <w:spacing w:line="360" w:lineRule="auto"/>
      <w:ind w:firstLineChars="200" w:firstLine="200"/>
      <w:jc w:val="both"/>
    </w:pPr>
    <w:rPr>
      <w:rFonts w:eastAsia="仿宋"/>
      <w:kern w:val="2"/>
      <w:sz w:val="28"/>
      <w:szCs w:val="24"/>
    </w:rPr>
  </w:style>
  <w:style w:type="paragraph" w:styleId="1">
    <w:name w:val="heading 1"/>
    <w:basedOn w:val="a"/>
    <w:next w:val="a"/>
    <w:link w:val="1Char"/>
    <w:uiPriority w:val="9"/>
    <w:qFormat/>
    <w:rsid w:val="00546122"/>
    <w:pPr>
      <w:keepNext/>
      <w:keepLines/>
      <w:spacing w:before="340" w:after="330"/>
      <w:outlineLvl w:val="0"/>
    </w:pPr>
    <w:rPr>
      <w:bCs/>
      <w:kern w:val="44"/>
      <w:sz w:val="30"/>
      <w:szCs w:val="44"/>
    </w:rPr>
  </w:style>
  <w:style w:type="paragraph" w:styleId="2">
    <w:name w:val="heading 2"/>
    <w:basedOn w:val="a"/>
    <w:next w:val="a"/>
    <w:unhideWhenUsed/>
    <w:qFormat/>
    <w:rsid w:val="00546122"/>
    <w:pPr>
      <w:keepNext/>
      <w:keepLines/>
      <w:spacing w:before="260" w:after="260" w:line="413" w:lineRule="auto"/>
      <w:jc w:val="left"/>
      <w:outlineLvl w:val="1"/>
    </w:pPr>
    <w:rPr>
      <w:rFonts w:ascii="Arial" w:eastAsia="楷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unhideWhenUsed/>
    <w:qFormat/>
    <w:rsid w:val="00546122"/>
    <w:pPr>
      <w:spacing w:before="120" w:line="240" w:lineRule="auto"/>
      <w:ind w:firstLineChars="0" w:firstLine="0"/>
    </w:pPr>
    <w:rPr>
      <w:rFonts w:ascii="Cambria" w:eastAsiaTheme="minorEastAsia" w:hAnsi="Cambria" w:cstheme="minorBidi"/>
      <w:sz w:val="24"/>
      <w:szCs w:val="22"/>
    </w:rPr>
  </w:style>
  <w:style w:type="paragraph" w:styleId="a4">
    <w:name w:val="annotation text"/>
    <w:basedOn w:val="a"/>
    <w:link w:val="Char"/>
    <w:uiPriority w:val="99"/>
    <w:semiHidden/>
    <w:unhideWhenUsed/>
    <w:qFormat/>
    <w:rsid w:val="00546122"/>
    <w:pPr>
      <w:jc w:val="left"/>
    </w:pPr>
  </w:style>
  <w:style w:type="paragraph" w:styleId="a5">
    <w:name w:val="Body Text Indent"/>
    <w:basedOn w:val="a"/>
    <w:next w:val="a"/>
    <w:uiPriority w:val="99"/>
    <w:unhideWhenUsed/>
    <w:qFormat/>
    <w:rsid w:val="00546122"/>
    <w:pPr>
      <w:spacing w:line="400" w:lineRule="exact"/>
      <w:ind w:firstLineChars="225" w:firstLine="540"/>
    </w:pPr>
    <w:rPr>
      <w:sz w:val="24"/>
    </w:rPr>
  </w:style>
  <w:style w:type="paragraph" w:styleId="a6">
    <w:name w:val="Balloon Text"/>
    <w:basedOn w:val="a"/>
    <w:link w:val="Char0"/>
    <w:uiPriority w:val="99"/>
    <w:semiHidden/>
    <w:unhideWhenUsed/>
    <w:qFormat/>
    <w:rsid w:val="00546122"/>
    <w:pPr>
      <w:spacing w:line="240" w:lineRule="auto"/>
    </w:pPr>
    <w:rPr>
      <w:sz w:val="18"/>
      <w:szCs w:val="18"/>
    </w:rPr>
  </w:style>
  <w:style w:type="paragraph" w:styleId="a7">
    <w:name w:val="footer"/>
    <w:basedOn w:val="a"/>
    <w:link w:val="Char1"/>
    <w:uiPriority w:val="99"/>
    <w:unhideWhenUsed/>
    <w:qFormat/>
    <w:rsid w:val="00546122"/>
    <w:pPr>
      <w:tabs>
        <w:tab w:val="center" w:pos="4153"/>
        <w:tab w:val="right" w:pos="8306"/>
      </w:tabs>
      <w:snapToGrid w:val="0"/>
      <w:spacing w:line="240" w:lineRule="auto"/>
      <w:jc w:val="left"/>
    </w:pPr>
    <w:rPr>
      <w:sz w:val="18"/>
      <w:szCs w:val="18"/>
    </w:rPr>
  </w:style>
  <w:style w:type="paragraph" w:styleId="a8">
    <w:name w:val="header"/>
    <w:basedOn w:val="a"/>
    <w:link w:val="Char2"/>
    <w:uiPriority w:val="99"/>
    <w:unhideWhenUsed/>
    <w:qFormat/>
    <w:rsid w:val="00546122"/>
    <w:pPr>
      <w:pBdr>
        <w:bottom w:val="single" w:sz="6" w:space="1" w:color="auto"/>
      </w:pBdr>
      <w:tabs>
        <w:tab w:val="center" w:pos="4153"/>
        <w:tab w:val="right" w:pos="8306"/>
      </w:tabs>
      <w:snapToGrid w:val="0"/>
      <w:spacing w:line="240" w:lineRule="auto"/>
      <w:jc w:val="center"/>
    </w:pPr>
    <w:rPr>
      <w:sz w:val="18"/>
      <w:szCs w:val="18"/>
    </w:rPr>
  </w:style>
  <w:style w:type="paragraph" w:styleId="a9">
    <w:name w:val="Subtitle"/>
    <w:basedOn w:val="a"/>
    <w:next w:val="a"/>
    <w:link w:val="Char3"/>
    <w:uiPriority w:val="11"/>
    <w:qFormat/>
    <w:rsid w:val="00546122"/>
    <w:pPr>
      <w:spacing w:before="240" w:after="60"/>
      <w:jc w:val="left"/>
      <w:outlineLvl w:val="1"/>
    </w:pPr>
    <w:rPr>
      <w:b/>
      <w:bCs/>
      <w:kern w:val="28"/>
      <w:sz w:val="30"/>
      <w:szCs w:val="32"/>
    </w:rPr>
  </w:style>
  <w:style w:type="paragraph" w:styleId="aa">
    <w:name w:val="footnote text"/>
    <w:basedOn w:val="a"/>
    <w:link w:val="Char4"/>
    <w:uiPriority w:val="99"/>
    <w:semiHidden/>
    <w:unhideWhenUsed/>
    <w:qFormat/>
    <w:rsid w:val="00546122"/>
    <w:pPr>
      <w:snapToGrid w:val="0"/>
      <w:jc w:val="left"/>
    </w:pPr>
    <w:rPr>
      <w:sz w:val="18"/>
      <w:szCs w:val="18"/>
    </w:rPr>
  </w:style>
  <w:style w:type="paragraph" w:styleId="ab">
    <w:name w:val="Title"/>
    <w:basedOn w:val="a"/>
    <w:next w:val="a"/>
    <w:link w:val="Char5"/>
    <w:uiPriority w:val="10"/>
    <w:qFormat/>
    <w:rsid w:val="00546122"/>
    <w:pPr>
      <w:spacing w:before="240" w:after="60"/>
      <w:ind w:firstLineChars="0" w:firstLine="0"/>
      <w:jc w:val="center"/>
      <w:outlineLvl w:val="0"/>
    </w:pPr>
    <w:rPr>
      <w:rFonts w:asciiTheme="majorHAnsi" w:hAnsiTheme="majorHAnsi" w:cstheme="majorBidi"/>
      <w:b/>
      <w:bCs/>
      <w:sz w:val="40"/>
      <w:szCs w:val="32"/>
    </w:rPr>
  </w:style>
  <w:style w:type="paragraph" w:styleId="ac">
    <w:name w:val="annotation subject"/>
    <w:basedOn w:val="a4"/>
    <w:next w:val="a4"/>
    <w:link w:val="Char6"/>
    <w:uiPriority w:val="99"/>
    <w:semiHidden/>
    <w:unhideWhenUsed/>
    <w:qFormat/>
    <w:rsid w:val="00546122"/>
    <w:rPr>
      <w:b/>
      <w:bCs/>
    </w:rPr>
  </w:style>
  <w:style w:type="paragraph" w:styleId="20">
    <w:name w:val="Body Text First Indent 2"/>
    <w:basedOn w:val="a"/>
    <w:next w:val="a"/>
    <w:qFormat/>
    <w:rsid w:val="00546122"/>
    <w:pPr>
      <w:ind w:leftChars="200" w:left="420" w:firstLine="210"/>
    </w:pPr>
  </w:style>
  <w:style w:type="table" w:styleId="ad">
    <w:name w:val="Table Grid"/>
    <w:basedOn w:val="a1"/>
    <w:uiPriority w:val="39"/>
    <w:qFormat/>
    <w:rsid w:val="005461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qFormat/>
    <w:rsid w:val="00546122"/>
    <w:rPr>
      <w:sz w:val="21"/>
      <w:szCs w:val="21"/>
    </w:rPr>
  </w:style>
  <w:style w:type="character" w:styleId="af">
    <w:name w:val="footnote reference"/>
    <w:basedOn w:val="a0"/>
    <w:uiPriority w:val="99"/>
    <w:semiHidden/>
    <w:unhideWhenUsed/>
    <w:qFormat/>
    <w:rsid w:val="00546122"/>
    <w:rPr>
      <w:vertAlign w:val="superscript"/>
    </w:rPr>
  </w:style>
  <w:style w:type="character" w:customStyle="1" w:styleId="Char3">
    <w:name w:val="副标题 Char"/>
    <w:basedOn w:val="a0"/>
    <w:link w:val="a9"/>
    <w:uiPriority w:val="11"/>
    <w:qFormat/>
    <w:rsid w:val="00546122"/>
    <w:rPr>
      <w:rFonts w:eastAsia="仿宋"/>
      <w:b/>
      <w:bCs/>
      <w:kern w:val="28"/>
      <w:sz w:val="30"/>
      <w:szCs w:val="32"/>
    </w:rPr>
  </w:style>
  <w:style w:type="character" w:customStyle="1" w:styleId="Char5">
    <w:name w:val="标题 Char"/>
    <w:basedOn w:val="a0"/>
    <w:link w:val="ab"/>
    <w:uiPriority w:val="10"/>
    <w:qFormat/>
    <w:rsid w:val="00546122"/>
    <w:rPr>
      <w:rFonts w:asciiTheme="majorHAnsi" w:eastAsia="宋体" w:hAnsiTheme="majorHAnsi" w:cstheme="majorBidi"/>
      <w:b/>
      <w:bCs/>
      <w:sz w:val="40"/>
      <w:szCs w:val="32"/>
    </w:rPr>
  </w:style>
  <w:style w:type="character" w:customStyle="1" w:styleId="1Char">
    <w:name w:val="标题 1 Char"/>
    <w:basedOn w:val="a0"/>
    <w:link w:val="1"/>
    <w:uiPriority w:val="9"/>
    <w:qFormat/>
    <w:rsid w:val="00546122"/>
    <w:rPr>
      <w:rFonts w:ascii="宋体" w:eastAsia="仿宋" w:hAnsi="宋体"/>
      <w:bCs/>
      <w:kern w:val="44"/>
      <w:sz w:val="30"/>
      <w:szCs w:val="44"/>
    </w:rPr>
  </w:style>
  <w:style w:type="paragraph" w:customStyle="1" w:styleId="af0">
    <w:name w:val="正文大标题"/>
    <w:basedOn w:val="a"/>
    <w:link w:val="af1"/>
    <w:qFormat/>
    <w:rsid w:val="00546122"/>
    <w:pPr>
      <w:spacing w:before="100" w:beforeAutospacing="1" w:after="100" w:afterAutospacing="1" w:line="560" w:lineRule="exact"/>
      <w:ind w:firstLineChars="0" w:firstLine="0"/>
      <w:jc w:val="center"/>
    </w:pPr>
    <w:rPr>
      <w:rFonts w:ascii="仿宋" w:hAnsi="仿宋"/>
      <w:b/>
      <w:bCs/>
      <w:sz w:val="44"/>
      <w:szCs w:val="44"/>
    </w:rPr>
  </w:style>
  <w:style w:type="character" w:customStyle="1" w:styleId="af1">
    <w:name w:val="正文大标题 字符"/>
    <w:basedOn w:val="a0"/>
    <w:link w:val="af0"/>
    <w:qFormat/>
    <w:rsid w:val="00546122"/>
    <w:rPr>
      <w:rFonts w:ascii="仿宋" w:eastAsia="仿宋" w:hAnsi="仿宋" w:cs="Times New Roman"/>
      <w:b/>
      <w:bCs/>
      <w:sz w:val="44"/>
      <w:szCs w:val="44"/>
    </w:rPr>
  </w:style>
  <w:style w:type="paragraph" w:customStyle="1" w:styleId="af2">
    <w:name w:val="一级标题"/>
    <w:basedOn w:val="a"/>
    <w:link w:val="af3"/>
    <w:qFormat/>
    <w:rsid w:val="00546122"/>
    <w:pPr>
      <w:widowControl/>
      <w:spacing w:before="100" w:beforeAutospacing="1" w:after="100" w:afterAutospacing="1" w:line="560" w:lineRule="exact"/>
      <w:ind w:firstLine="602"/>
    </w:pPr>
    <w:rPr>
      <w:rFonts w:ascii="仿宋" w:hAnsi="仿宋"/>
      <w:b/>
      <w:kern w:val="0"/>
      <w:szCs w:val="30"/>
    </w:rPr>
  </w:style>
  <w:style w:type="character" w:customStyle="1" w:styleId="af3">
    <w:name w:val="一级标题 字符"/>
    <w:basedOn w:val="a0"/>
    <w:link w:val="af2"/>
    <w:qFormat/>
    <w:rsid w:val="00546122"/>
    <w:rPr>
      <w:rFonts w:ascii="仿宋" w:eastAsia="仿宋" w:hAnsi="仿宋" w:cs="Times New Roman"/>
      <w:b/>
      <w:kern w:val="0"/>
      <w:sz w:val="28"/>
      <w:szCs w:val="30"/>
    </w:rPr>
  </w:style>
  <w:style w:type="paragraph" w:customStyle="1" w:styleId="af4">
    <w:name w:val="三级标题"/>
    <w:basedOn w:val="a"/>
    <w:link w:val="af5"/>
    <w:qFormat/>
    <w:rsid w:val="00546122"/>
    <w:pPr>
      <w:ind w:firstLine="602"/>
    </w:pPr>
    <w:rPr>
      <w:b/>
    </w:rPr>
  </w:style>
  <w:style w:type="character" w:customStyle="1" w:styleId="af5">
    <w:name w:val="三级标题 字符"/>
    <w:basedOn w:val="a0"/>
    <w:link w:val="af4"/>
    <w:qFormat/>
    <w:rsid w:val="00546122"/>
    <w:rPr>
      <w:rFonts w:ascii="Times New Roman" w:eastAsia="仿宋" w:hAnsi="Times New Roman" w:cs="Times New Roman"/>
      <w:b/>
      <w:sz w:val="28"/>
      <w:szCs w:val="24"/>
    </w:rPr>
  </w:style>
  <w:style w:type="paragraph" w:customStyle="1" w:styleId="af6">
    <w:name w:val="二级标题"/>
    <w:basedOn w:val="a"/>
    <w:link w:val="af7"/>
    <w:qFormat/>
    <w:rsid w:val="00546122"/>
    <w:pPr>
      <w:ind w:firstLine="600"/>
    </w:pPr>
    <w:rPr>
      <w:b/>
    </w:rPr>
  </w:style>
  <w:style w:type="character" w:customStyle="1" w:styleId="af7">
    <w:name w:val="二级标题 字符"/>
    <w:basedOn w:val="a0"/>
    <w:link w:val="af6"/>
    <w:qFormat/>
    <w:rsid w:val="00546122"/>
    <w:rPr>
      <w:rFonts w:ascii="Times New Roman" w:eastAsia="仿宋" w:hAnsi="Times New Roman" w:cs="Times New Roman"/>
      <w:b/>
      <w:sz w:val="28"/>
      <w:szCs w:val="24"/>
    </w:rPr>
  </w:style>
  <w:style w:type="character" w:customStyle="1" w:styleId="Char4">
    <w:name w:val="脚注文本 Char"/>
    <w:basedOn w:val="a0"/>
    <w:link w:val="aa"/>
    <w:uiPriority w:val="99"/>
    <w:semiHidden/>
    <w:qFormat/>
    <w:rsid w:val="00546122"/>
    <w:rPr>
      <w:rFonts w:ascii="Times New Roman" w:eastAsia="仿宋" w:hAnsi="Times New Roman" w:cs="Times New Roman"/>
      <w:sz w:val="18"/>
      <w:szCs w:val="18"/>
    </w:rPr>
  </w:style>
  <w:style w:type="character" w:customStyle="1" w:styleId="Char2">
    <w:name w:val="页眉 Char"/>
    <w:basedOn w:val="a0"/>
    <w:link w:val="a8"/>
    <w:uiPriority w:val="99"/>
    <w:qFormat/>
    <w:rsid w:val="00546122"/>
    <w:rPr>
      <w:rFonts w:ascii="Times New Roman" w:eastAsia="仿宋" w:hAnsi="Times New Roman" w:cs="Times New Roman"/>
      <w:sz w:val="18"/>
      <w:szCs w:val="18"/>
    </w:rPr>
  </w:style>
  <w:style w:type="character" w:customStyle="1" w:styleId="Char1">
    <w:name w:val="页脚 Char"/>
    <w:basedOn w:val="a0"/>
    <w:link w:val="a7"/>
    <w:uiPriority w:val="99"/>
    <w:qFormat/>
    <w:rsid w:val="00546122"/>
    <w:rPr>
      <w:rFonts w:ascii="Times New Roman" w:eastAsia="仿宋" w:hAnsi="Times New Roman" w:cs="Times New Roman"/>
      <w:sz w:val="18"/>
      <w:szCs w:val="18"/>
    </w:rPr>
  </w:style>
  <w:style w:type="character" w:customStyle="1" w:styleId="Char0">
    <w:name w:val="批注框文本 Char"/>
    <w:basedOn w:val="a0"/>
    <w:link w:val="a6"/>
    <w:uiPriority w:val="99"/>
    <w:semiHidden/>
    <w:qFormat/>
    <w:rsid w:val="00546122"/>
    <w:rPr>
      <w:rFonts w:ascii="Times New Roman" w:eastAsia="仿宋" w:hAnsi="Times New Roman" w:cs="Times New Roman"/>
      <w:sz w:val="18"/>
      <w:szCs w:val="18"/>
    </w:rPr>
  </w:style>
  <w:style w:type="table" w:customStyle="1" w:styleId="11">
    <w:name w:val="无格式表格 11"/>
    <w:basedOn w:val="a1"/>
    <w:uiPriority w:val="41"/>
    <w:qFormat/>
    <w:rsid w:val="0054612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a1"/>
    <w:uiPriority w:val="47"/>
    <w:qFormat/>
    <w:rsid w:val="00546122"/>
    <w:tblPr>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61">
    <w:name w:val="清单表 1 浅色 - 着色 61"/>
    <w:basedOn w:val="a1"/>
    <w:uiPriority w:val="46"/>
    <w:qFormat/>
    <w:rsid w:val="00546122"/>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61">
    <w:name w:val="清单表 4 - 着色 61"/>
    <w:basedOn w:val="a1"/>
    <w:uiPriority w:val="49"/>
    <w:qFormat/>
    <w:rsid w:val="00546122"/>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4-51">
    <w:name w:val="清单表 4 - 着色 51"/>
    <w:basedOn w:val="a1"/>
    <w:uiPriority w:val="49"/>
    <w:qFormat/>
    <w:rsid w:val="00546122"/>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11">
    <w:name w:val="清单表 4 - 着色 11"/>
    <w:basedOn w:val="a1"/>
    <w:uiPriority w:val="49"/>
    <w:qFormat/>
    <w:rsid w:val="00546122"/>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7-61">
    <w:name w:val="网格表 7 彩色 - 着色 61"/>
    <w:basedOn w:val="a1"/>
    <w:uiPriority w:val="52"/>
    <w:qFormat/>
    <w:rsid w:val="00546122"/>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5-61">
    <w:name w:val="网格表 5 深色 - 着色 61"/>
    <w:basedOn w:val="a1"/>
    <w:uiPriority w:val="50"/>
    <w:qFormat/>
    <w:rsid w:val="00546122"/>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4-12">
    <w:name w:val="清单表 4 - 着色 12"/>
    <w:basedOn w:val="a1"/>
    <w:uiPriority w:val="49"/>
    <w:qFormat/>
    <w:rsid w:val="00546122"/>
    <w:rPr>
      <w:kern w:val="2"/>
      <w:sz w:val="21"/>
      <w:szCs w:val="22"/>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30">
    <w:name w:val="黑体三号30磅"/>
    <w:basedOn w:val="a"/>
    <w:qFormat/>
    <w:rsid w:val="00546122"/>
    <w:pPr>
      <w:snapToGrid w:val="0"/>
      <w:spacing w:line="600" w:lineRule="exact"/>
      <w:ind w:firstLine="640"/>
      <w:jc w:val="left"/>
      <w:outlineLvl w:val="0"/>
    </w:pPr>
    <w:rPr>
      <w:rFonts w:ascii="黑体" w:eastAsia="黑体" w:hAnsi="黑体"/>
      <w:sz w:val="32"/>
      <w:szCs w:val="32"/>
    </w:rPr>
  </w:style>
  <w:style w:type="paragraph" w:customStyle="1" w:styleId="GBK30">
    <w:name w:val="方正楷体GBK三号30磅"/>
    <w:basedOn w:val="a"/>
    <w:qFormat/>
    <w:rsid w:val="00546122"/>
    <w:pPr>
      <w:snapToGrid w:val="0"/>
      <w:spacing w:line="600" w:lineRule="exact"/>
      <w:ind w:firstLine="640"/>
      <w:jc w:val="left"/>
      <w:outlineLvl w:val="1"/>
    </w:pPr>
    <w:rPr>
      <w:rFonts w:ascii="方正楷体_GBK" w:eastAsia="方正楷体_GBK" w:hAnsi="楷体"/>
      <w:sz w:val="32"/>
      <w:szCs w:val="32"/>
    </w:rPr>
  </w:style>
  <w:style w:type="character" w:customStyle="1" w:styleId="Char">
    <w:name w:val="批注文字 Char"/>
    <w:basedOn w:val="a0"/>
    <w:link w:val="a4"/>
    <w:uiPriority w:val="99"/>
    <w:semiHidden/>
    <w:qFormat/>
    <w:rsid w:val="00546122"/>
    <w:rPr>
      <w:rFonts w:eastAsia="仿宋"/>
      <w:kern w:val="2"/>
      <w:sz w:val="28"/>
      <w:szCs w:val="24"/>
    </w:rPr>
  </w:style>
  <w:style w:type="character" w:customStyle="1" w:styleId="Char6">
    <w:name w:val="批注主题 Char"/>
    <w:basedOn w:val="Char"/>
    <w:link w:val="ac"/>
    <w:uiPriority w:val="99"/>
    <w:semiHidden/>
    <w:qFormat/>
    <w:rsid w:val="00546122"/>
    <w:rPr>
      <w:rFonts w:eastAsia="仿宋"/>
      <w:b/>
      <w:bCs/>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7F72A-D438-4C27-9B08-A649C38E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2539</Words>
  <Characters>14477</Characters>
  <Application>Microsoft Office Word</Application>
  <DocSecurity>0</DocSecurity>
  <Lines>120</Lines>
  <Paragraphs>33</Paragraphs>
  <ScaleCrop>false</ScaleCrop>
  <Company>微软中国</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 Ruiyan</dc:creator>
  <cp:lastModifiedBy>微软用户</cp:lastModifiedBy>
  <cp:revision>2</cp:revision>
  <cp:lastPrinted>2024-06-28T12:46:00Z</cp:lastPrinted>
  <dcterms:created xsi:type="dcterms:W3CDTF">2025-10-16T09:04:00Z</dcterms:created>
  <dcterms:modified xsi:type="dcterms:W3CDTF">2025-10-16T09:04:00Z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13B614EAC8B94C1897F9476DCCB4F6A9_13</vt:lpwstr>
  </property>
  <property fmtid="{D5CDD505-2E9C-101B-9397-08002B2CF9AE}" pid="4" name="KSOTemplateDocerSaveRecord">
    <vt:lpwstr>eyJoZGlkIjoiZDUyNzE2NTc4Yzc3ZGRmMGNjZWFiNjU1OGMzNjM1OWIiLCJ1c2VySWQiOiI0OTkyMTQyNjIifQ==</vt:lpwstr>
  </property>
</Properties>
</file>