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A16A1">
      <w:pPr>
        <w:spacing w:line="540" w:lineRule="exact"/>
        <w:jc w:val="both"/>
        <w:rPr>
          <w:rFonts w:hint="default" w:ascii="Times New Roman" w:hAnsi="Times New Roman" w:eastAsia="方正仿宋_GBK" w:cs="Times New Roman"/>
          <w:b w:val="0"/>
          <w:bCs w:val="0"/>
          <w:sz w:val="32"/>
          <w:szCs w:val="32"/>
          <w:lang w:val="en" w:eastAsia="zh-CN"/>
        </w:rPr>
      </w:pPr>
      <w:r>
        <w:rPr>
          <w:rFonts w:hint="default" w:ascii="Times New Roman" w:hAnsi="Times New Roman" w:eastAsia="方正仿宋_GBK" w:cs="Times New Roman"/>
          <w:b w:val="0"/>
          <w:bCs w:val="0"/>
          <w:sz w:val="32"/>
          <w:szCs w:val="32"/>
          <w:lang w:eastAsia="zh-CN"/>
        </w:rPr>
        <w:t>附件</w:t>
      </w:r>
      <w:r>
        <w:rPr>
          <w:rFonts w:hint="default" w:ascii="Times New Roman" w:hAnsi="Times New Roman" w:eastAsia="方正仿宋_GBK" w:cs="Times New Roman"/>
          <w:b w:val="0"/>
          <w:bCs w:val="0"/>
          <w:sz w:val="32"/>
          <w:szCs w:val="32"/>
          <w:lang w:val="en" w:eastAsia="zh-CN"/>
        </w:rPr>
        <w:t>1</w:t>
      </w:r>
    </w:p>
    <w:p w14:paraId="43C12078">
      <w:pPr>
        <w:spacing w:line="540" w:lineRule="exact"/>
        <w:jc w:val="both"/>
        <w:rPr>
          <w:rFonts w:hint="default" w:ascii="Times New Roman" w:hAnsi="Times New Roman" w:eastAsia="方正仿宋_GBK" w:cs="Times New Roman"/>
          <w:b w:val="0"/>
          <w:bCs w:val="0"/>
          <w:sz w:val="32"/>
          <w:szCs w:val="32"/>
          <w:lang w:val="en-US" w:eastAsia="zh-CN"/>
        </w:rPr>
      </w:pPr>
    </w:p>
    <w:p w14:paraId="4D38B449">
      <w:pPr>
        <w:spacing w:line="54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关于《南京市公共信用信息补充目录</w:t>
      </w:r>
    </w:p>
    <w:p w14:paraId="136935C8">
      <w:pPr>
        <w:spacing w:line="540" w:lineRule="exact"/>
        <w:jc w:val="center"/>
        <w:rPr>
          <w:rFonts w:ascii="Times New Roman" w:hAnsi="Times New Roman" w:eastAsia="方正楷体_GBK" w:cs="Times New Roman"/>
          <w:sz w:val="32"/>
          <w:szCs w:val="32"/>
        </w:rPr>
      </w:pPr>
      <w:r>
        <w:rPr>
          <w:rFonts w:hint="eastAsia" w:ascii="Times New Roman" w:hAnsi="Times New Roman" w:eastAsia="方正小标宋_GBK" w:cs="Times New Roman"/>
          <w:sz w:val="44"/>
          <w:szCs w:val="44"/>
          <w:lang w:eastAsia="zh-CN"/>
        </w:rPr>
        <w:t>（</w:t>
      </w: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ascii="Times New Roman" w:hAnsi="Times New Roman" w:eastAsia="方正小标宋_GBK" w:cs="Times New Roman"/>
          <w:sz w:val="44"/>
          <w:szCs w:val="44"/>
        </w:rPr>
        <w:t>年版</w:t>
      </w:r>
      <w:r>
        <w:rPr>
          <w:rFonts w:hint="eastAsia" w:ascii="Times New Roman" w:hAnsi="Times New Roman" w:eastAsia="方正小标宋_GBK" w:cs="Times New Roman"/>
          <w:sz w:val="44"/>
          <w:szCs w:val="44"/>
          <w:lang w:eastAsia="zh-CN"/>
        </w:rPr>
        <w:t>）》</w:t>
      </w:r>
      <w:bookmarkStart w:id="0" w:name="_GoBack"/>
      <w:bookmarkEnd w:id="0"/>
      <w:r>
        <w:rPr>
          <w:rFonts w:ascii="Times New Roman" w:hAnsi="Times New Roman" w:eastAsia="方正小标宋_GBK" w:cs="Times New Roman"/>
          <w:sz w:val="44"/>
          <w:szCs w:val="44"/>
        </w:rPr>
        <w:t>的说明</w:t>
      </w:r>
    </w:p>
    <w:p w14:paraId="4640E44A">
      <w:pPr>
        <w:spacing w:line="580" w:lineRule="exact"/>
        <w:ind w:firstLine="640" w:firstLineChars="200"/>
        <w:rPr>
          <w:rFonts w:ascii="Times New Roman" w:hAnsi="Times New Roman" w:eastAsia="方正仿宋_GBK" w:cs="Times New Roman"/>
          <w:sz w:val="32"/>
          <w:szCs w:val="32"/>
        </w:rPr>
      </w:pPr>
    </w:p>
    <w:p w14:paraId="4282D249">
      <w:pPr>
        <w:spacing w:line="58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为贯彻落实党中央、国务院、省委、省政府和市委、市政府关于推进社会信用体系建设高质量发展的决策部署，按照《中华人民共和国国民经济和社会发展第十四个五年规划和2035年远景目标纲要》《中共中央办公厅 国务院办公厅印发&lt;关于推进社会信用体系高质量发展促进形成新发展格局的意见&gt;的通知》《国务院办公厅关于进一步完善失信约束制度构建诚信建设长效机制的指导意见》《江苏省社会信用条例》和《南京市社会信用条例》要求，进一步明确公共信用信息纳入范围，保护信用主体合法权益，在《全国公共信用信息基础目录(2025年版)》《江苏省公共信用信息补充目录（2025年版）》的基础上，严格以市地方性法规为依据，编制本目录。</w:t>
      </w:r>
    </w:p>
    <w:p w14:paraId="2FCA0779">
      <w:pPr>
        <w:spacing w:line="58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一、本目录所称公共信用信息，是指国家机关和法律、法规授权的具有管理公共事务职能的组织(以下统称“公共管理机构”)在履行法定职责、提供公共服务过程中产生和获取的信用信息。</w:t>
      </w:r>
    </w:p>
    <w:p w14:paraId="748D7556">
      <w:pPr>
        <w:spacing w:line="58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二、本目录旨在规范界定公共信用信息纳入范围。除法律、法规或者党中央、国务院政策文件另有规定外，公共管理机构不得</w:t>
      </w:r>
      <w:r>
        <w:rPr>
          <w:rFonts w:hint="eastAsia" w:ascii="Times New Roman" w:hAnsi="Times New Roman" w:eastAsia="方正仿宋_GBK" w:cs="Times New Roman"/>
          <w:sz w:val="32"/>
          <w:szCs w:val="32"/>
        </w:rPr>
        <w:t>将</w:t>
      </w:r>
      <w:r>
        <w:rPr>
          <w:rFonts w:ascii="Times New Roman" w:hAnsi="Times New Roman" w:eastAsia="方正仿宋_GBK" w:cs="Times New Roman"/>
          <w:sz w:val="32"/>
          <w:szCs w:val="32"/>
        </w:rPr>
        <w:t>全国公共信用信息基础目录、江苏省公共信用信息补充目录和本目录</w:t>
      </w:r>
      <w:r>
        <w:rPr>
          <w:rFonts w:hint="eastAsia" w:ascii="Times New Roman" w:hAnsi="Times New Roman" w:eastAsia="方正仿宋_GBK" w:cs="Times New Roman"/>
          <w:sz w:val="32"/>
          <w:szCs w:val="32"/>
        </w:rPr>
        <w:t>以外的</w:t>
      </w:r>
      <w:r>
        <w:rPr>
          <w:rFonts w:ascii="Times New Roman" w:hAnsi="Times New Roman" w:eastAsia="方正仿宋_GBK" w:cs="Times New Roman"/>
          <w:sz w:val="32"/>
          <w:szCs w:val="32"/>
        </w:rPr>
        <w:t>信息</w:t>
      </w:r>
      <w:r>
        <w:rPr>
          <w:rFonts w:hint="eastAsia" w:ascii="Times New Roman" w:hAnsi="Times New Roman" w:eastAsia="方正仿宋_GBK" w:cs="Times New Roman"/>
          <w:sz w:val="32"/>
          <w:szCs w:val="32"/>
        </w:rPr>
        <w:t>纳入信用记录</w:t>
      </w:r>
      <w:r>
        <w:rPr>
          <w:rFonts w:ascii="Times New Roman" w:hAnsi="Times New Roman" w:eastAsia="方正仿宋_GBK" w:cs="Times New Roman"/>
          <w:sz w:val="32"/>
          <w:szCs w:val="32"/>
        </w:rPr>
        <w:t>。公共管理机构根据履行职责需要在全国公共信用信息基础目录、江苏省公共信用信息补充目录和本目录之外采集的信息，不得作为公共信用信息使用。公共管理机构以外的组织依法采集信用信息的范围，不受本目录限制。</w:t>
      </w:r>
    </w:p>
    <w:p w14:paraId="71DB4FE9">
      <w:pPr>
        <w:spacing w:line="580" w:lineRule="exact"/>
        <w:ind w:firstLine="640" w:firstLineChars="200"/>
        <w:jc w:val="both"/>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三、本目录补充公共信用信息 1项，为志愿服务、慈善捐赠、见义勇为等信息。为更好落实全国公共信用信息基础目录和江苏省公共信用信息补充目录，本目录还梳理了全国基础目录和江苏省补充目录中我市有地方性法规对应依据的公共信用信息</w:t>
      </w:r>
      <w:r>
        <w:rPr>
          <w:rFonts w:hint="eastAsia" w:ascii="Times New Roman" w:hAnsi="Times New Roman" w:eastAsia="方正仿宋_GBK" w:cs="Times New Roman"/>
          <w:sz w:val="32"/>
          <w:szCs w:val="32"/>
        </w:rPr>
        <w:t>4</w:t>
      </w:r>
      <w:r>
        <w:rPr>
          <w:rFonts w:ascii="Times New Roman" w:hAnsi="Times New Roman" w:eastAsia="方正仿宋_GBK" w:cs="Times New Roman"/>
          <w:color w:val="000000" w:themeColor="text1"/>
          <w:sz w:val="32"/>
          <w:szCs w:val="32"/>
          <w14:textFill>
            <w14:solidFill>
              <w14:schemeClr w14:val="tx1"/>
            </w14:solidFill>
          </w14:textFill>
        </w:rPr>
        <w:t>项，包括登记注册基本信息、信用承诺及履行情况信息</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遵守法律法规情况信息</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弄虚作假行为信息</w:t>
      </w:r>
      <w:r>
        <w:rPr>
          <w:rFonts w:ascii="Times New Roman" w:hAnsi="Times New Roman" w:eastAsia="方正仿宋_GBK" w:cs="Times New Roman"/>
          <w:sz w:val="32"/>
          <w:szCs w:val="32"/>
        </w:rPr>
        <w:t>。</w:t>
      </w:r>
    </w:p>
    <w:p w14:paraId="05959E9A">
      <w:pPr>
        <w:spacing w:line="58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四、各区、各有关部门（单位）应遵循合法、正当、必要、最小化原则，严格按照相关目录归集公共信用信息。要严格遵守关于保守国家秘密、保护商业秘密和个人隐私的有关规定，加强信息安全管理，严禁泄露、篡改、毁损、窃取、出售、非法提供信用信息或非法获取、传播、利用信用信息谋私等行为，切实保护信用主体合法权益。 </w:t>
      </w:r>
    </w:p>
    <w:p w14:paraId="57F21E49">
      <w:pPr>
        <w:spacing w:line="58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五、法律、法规或者党中央、国务院政策文件对公共信用信息纳入范围作出新的规定的，从其规定。</w:t>
      </w:r>
    </w:p>
    <w:p w14:paraId="7E80B407">
      <w:pPr>
        <w:spacing w:line="58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六、本目录自</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2026</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日起施行，有效期至</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2027</w:t>
      </w:r>
      <w:r>
        <w:rPr>
          <w:rFonts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31</w:t>
      </w:r>
      <w:r>
        <w:rPr>
          <w:rFonts w:ascii="Times New Roman" w:hAnsi="Times New Roman" w:eastAsia="方正仿宋_GBK" w:cs="Times New Roman"/>
          <w:color w:val="000000" w:themeColor="text1"/>
          <w:sz w:val="32"/>
          <w:szCs w:val="32"/>
          <w14:textFill>
            <w14:solidFill>
              <w14:schemeClr w14:val="tx1"/>
            </w14:solidFill>
          </w14:textFill>
        </w:rPr>
        <w:t>日</w:t>
      </w:r>
      <w:r>
        <w:rPr>
          <w:rFonts w:ascii="Times New Roman" w:hAnsi="Times New Roman" w:eastAsia="方正仿宋_GBK" w:cs="Times New Roman"/>
          <w:sz w:val="32"/>
          <w:szCs w:val="32"/>
        </w:rPr>
        <w:t>。</w:t>
      </w:r>
    </w:p>
    <w:p w14:paraId="2A8764C2">
      <w:pPr>
        <w:rPr>
          <w:rFonts w:ascii="Times New Roman" w:hAnsi="Times New Roman" w:eastAsia="仿宋" w:cs="Times New Roman"/>
          <w:b/>
          <w:bCs/>
          <w:sz w:val="28"/>
          <w:szCs w:val="28"/>
        </w:rPr>
        <w:sectPr>
          <w:footerReference r:id="rId3" w:type="default"/>
          <w:footerReference r:id="rId4" w:type="even"/>
          <w:pgSz w:w="11906" w:h="16838"/>
          <w:pgMar w:top="1440" w:right="1800" w:bottom="1440" w:left="1800" w:header="851" w:footer="992" w:gutter="0"/>
          <w:cols w:space="425" w:num="1"/>
          <w:docGrid w:type="lines" w:linePitch="312" w:charSpace="0"/>
        </w:sectPr>
      </w:pPr>
    </w:p>
    <w:p w14:paraId="273135D4">
      <w:pPr>
        <w:spacing w:line="360" w:lineRule="auto"/>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南京市公共信用信息补充目录</w:t>
      </w:r>
      <w:r>
        <w:rPr>
          <w:rFonts w:hint="eastAsia" w:ascii="Times New Roman" w:hAnsi="Times New Roman" w:eastAsia="方正小标宋_GBK" w:cs="Times New Roman"/>
          <w:sz w:val="36"/>
          <w:szCs w:val="36"/>
        </w:rPr>
        <w:t>（2</w:t>
      </w:r>
      <w:r>
        <w:rPr>
          <w:rFonts w:ascii="Times New Roman" w:hAnsi="Times New Roman" w:eastAsia="方正小标宋_GBK" w:cs="Times New Roman"/>
          <w:sz w:val="36"/>
          <w:szCs w:val="36"/>
        </w:rPr>
        <w:t>02</w:t>
      </w:r>
      <w:r>
        <w:rPr>
          <w:rFonts w:hint="eastAsia" w:ascii="Times New Roman" w:hAnsi="Times New Roman" w:eastAsia="方正小标宋_GBK" w:cs="Times New Roman"/>
          <w:sz w:val="36"/>
          <w:szCs w:val="36"/>
          <w:lang w:val="en-US" w:eastAsia="zh-CN"/>
        </w:rPr>
        <w:t>6</w:t>
      </w:r>
      <w:r>
        <w:rPr>
          <w:rFonts w:hint="eastAsia" w:ascii="Times New Roman" w:hAnsi="Times New Roman" w:eastAsia="方正小标宋_GBK" w:cs="Times New Roman"/>
          <w:sz w:val="36"/>
          <w:szCs w:val="36"/>
        </w:rPr>
        <w:t>年版）</w:t>
      </w:r>
    </w:p>
    <w:tbl>
      <w:tblPr>
        <w:tblStyle w:val="8"/>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781"/>
        <w:gridCol w:w="3827"/>
        <w:gridCol w:w="2126"/>
        <w:gridCol w:w="1843"/>
        <w:gridCol w:w="3544"/>
      </w:tblGrid>
      <w:tr w14:paraId="2739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766" w:type="dxa"/>
            <w:vAlign w:val="center"/>
          </w:tcPr>
          <w:p w14:paraId="67BF4573">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序号</w:t>
            </w:r>
          </w:p>
        </w:tc>
        <w:tc>
          <w:tcPr>
            <w:tcW w:w="1781" w:type="dxa"/>
            <w:vAlign w:val="center"/>
          </w:tcPr>
          <w:p w14:paraId="2FD844F7">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信息类别</w:t>
            </w:r>
          </w:p>
        </w:tc>
        <w:tc>
          <w:tcPr>
            <w:tcW w:w="3827" w:type="dxa"/>
            <w:vAlign w:val="center"/>
          </w:tcPr>
          <w:p w14:paraId="16DA78B2">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条    目</w:t>
            </w:r>
          </w:p>
        </w:tc>
        <w:tc>
          <w:tcPr>
            <w:tcW w:w="2126" w:type="dxa"/>
            <w:vAlign w:val="center"/>
          </w:tcPr>
          <w:p w14:paraId="56550AA5">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主体性质</w:t>
            </w:r>
          </w:p>
        </w:tc>
        <w:tc>
          <w:tcPr>
            <w:tcW w:w="1843" w:type="dxa"/>
            <w:vAlign w:val="center"/>
          </w:tcPr>
          <w:p w14:paraId="17864ECF">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责任单位</w:t>
            </w:r>
          </w:p>
        </w:tc>
        <w:tc>
          <w:tcPr>
            <w:tcW w:w="3544" w:type="dxa"/>
            <w:vAlign w:val="center"/>
          </w:tcPr>
          <w:p w14:paraId="168A2023">
            <w:pPr>
              <w:adjustRightInd w:val="0"/>
              <w:snapToGrid w:val="0"/>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纳入依据</w:t>
            </w:r>
          </w:p>
        </w:tc>
      </w:tr>
      <w:tr w14:paraId="20E4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887" w:type="dxa"/>
            <w:gridSpan w:val="6"/>
            <w:vAlign w:val="center"/>
          </w:tcPr>
          <w:p w14:paraId="5762AC39">
            <w:pPr>
              <w:adjustRightInd w:val="0"/>
              <w:snapToGrid w:val="0"/>
              <w:rPr>
                <w:rFonts w:ascii="Times New Roman" w:hAnsi="Times New Roman" w:eastAsia="方正楷体_GBK" w:cs="Times New Roman"/>
                <w:color w:val="000000" w:themeColor="text1"/>
                <w:szCs w:val="21"/>
                <w14:textFill>
                  <w14:solidFill>
                    <w14:schemeClr w14:val="tx1"/>
                  </w14:solidFill>
                </w14:textFill>
              </w:rPr>
            </w:pPr>
            <w:r>
              <w:rPr>
                <w:rFonts w:ascii="Times New Roman" w:hAnsi="Times New Roman" w:eastAsia="方正楷体_GBK" w:cs="Times New Roman"/>
                <w:color w:val="000000" w:themeColor="text1"/>
                <w:szCs w:val="21"/>
                <w14:textFill>
                  <w14:solidFill>
                    <w14:schemeClr w14:val="tx1"/>
                  </w14:solidFill>
                </w14:textFill>
              </w:rPr>
              <w:t>一、全国公共信用信息基础目录</w:t>
            </w:r>
          </w:p>
        </w:tc>
      </w:tr>
      <w:tr w14:paraId="5EAD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restart"/>
            <w:vAlign w:val="center"/>
          </w:tcPr>
          <w:p w14:paraId="699B7C5D">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1</w:t>
            </w:r>
          </w:p>
        </w:tc>
        <w:tc>
          <w:tcPr>
            <w:tcW w:w="1781" w:type="dxa"/>
            <w:vMerge w:val="restart"/>
            <w:vAlign w:val="center"/>
          </w:tcPr>
          <w:p w14:paraId="0CFEEB3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登记注册基本信息</w:t>
            </w:r>
          </w:p>
        </w:tc>
        <w:tc>
          <w:tcPr>
            <w:tcW w:w="3827" w:type="dxa"/>
            <w:vAlign w:val="center"/>
          </w:tcPr>
          <w:p w14:paraId="2A92078D">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姓名、身份证号码信息</w:t>
            </w:r>
          </w:p>
        </w:tc>
        <w:tc>
          <w:tcPr>
            <w:tcW w:w="2126" w:type="dxa"/>
            <w:vAlign w:val="center"/>
          </w:tcPr>
          <w:p w14:paraId="3F38880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自然人</w:t>
            </w:r>
          </w:p>
        </w:tc>
        <w:tc>
          <w:tcPr>
            <w:tcW w:w="1843" w:type="dxa"/>
            <w:vAlign w:val="center"/>
          </w:tcPr>
          <w:p w14:paraId="76C6A21E">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市公安局</w:t>
            </w:r>
          </w:p>
        </w:tc>
        <w:tc>
          <w:tcPr>
            <w:tcW w:w="3544" w:type="dxa"/>
            <w:vMerge w:val="restart"/>
            <w:vAlign w:val="center"/>
          </w:tcPr>
          <w:p w14:paraId="3D466098">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《南京市社会信用条例》</w:t>
            </w:r>
          </w:p>
          <w:p w14:paraId="4FF47F42">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第二十一条</w:t>
            </w:r>
          </w:p>
        </w:tc>
      </w:tr>
      <w:tr w14:paraId="3694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2EFCF41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392D63F6">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1D609808">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婚姻状况信息</w:t>
            </w:r>
          </w:p>
        </w:tc>
        <w:tc>
          <w:tcPr>
            <w:tcW w:w="2126" w:type="dxa"/>
            <w:vAlign w:val="center"/>
          </w:tcPr>
          <w:p w14:paraId="1DB51F3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自然人</w:t>
            </w:r>
          </w:p>
        </w:tc>
        <w:tc>
          <w:tcPr>
            <w:tcW w:w="1843" w:type="dxa"/>
            <w:vAlign w:val="center"/>
          </w:tcPr>
          <w:p w14:paraId="487B05D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市民政局</w:t>
            </w:r>
          </w:p>
        </w:tc>
        <w:tc>
          <w:tcPr>
            <w:tcW w:w="3544" w:type="dxa"/>
            <w:vMerge w:val="continue"/>
            <w:vAlign w:val="center"/>
          </w:tcPr>
          <w:p w14:paraId="329C4E9E">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r>
      <w:tr w14:paraId="5FE9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vMerge w:val="continue"/>
            <w:vAlign w:val="center"/>
          </w:tcPr>
          <w:p w14:paraId="0559EDB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6600E18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4AD85799">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就业就学信息</w:t>
            </w:r>
          </w:p>
        </w:tc>
        <w:tc>
          <w:tcPr>
            <w:tcW w:w="2126" w:type="dxa"/>
            <w:vAlign w:val="center"/>
          </w:tcPr>
          <w:p w14:paraId="68A56FD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自然人</w:t>
            </w:r>
          </w:p>
        </w:tc>
        <w:tc>
          <w:tcPr>
            <w:tcW w:w="1843" w:type="dxa"/>
            <w:vAlign w:val="center"/>
          </w:tcPr>
          <w:p w14:paraId="2DC023C2">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c>
          <w:tcPr>
            <w:tcW w:w="3544" w:type="dxa"/>
            <w:vMerge w:val="continue"/>
            <w:vAlign w:val="center"/>
          </w:tcPr>
          <w:p w14:paraId="3F289A1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r>
      <w:tr w14:paraId="4132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0F2E00C">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2</w:t>
            </w:r>
          </w:p>
        </w:tc>
        <w:tc>
          <w:tcPr>
            <w:tcW w:w="1781" w:type="dxa"/>
            <w:vAlign w:val="center"/>
          </w:tcPr>
          <w:p w14:paraId="7089E77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信用承诺及其履行情况信息</w:t>
            </w:r>
          </w:p>
        </w:tc>
        <w:tc>
          <w:tcPr>
            <w:tcW w:w="3827" w:type="dxa"/>
            <w:vAlign w:val="center"/>
          </w:tcPr>
          <w:p w14:paraId="75821938">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违反告知承诺制度的信息</w:t>
            </w:r>
          </w:p>
        </w:tc>
        <w:tc>
          <w:tcPr>
            <w:tcW w:w="2126" w:type="dxa"/>
            <w:vAlign w:val="center"/>
          </w:tcPr>
          <w:p w14:paraId="1B0E7ABF">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1587BF8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c>
          <w:tcPr>
            <w:tcW w:w="3544" w:type="dxa"/>
            <w:vAlign w:val="center"/>
          </w:tcPr>
          <w:p w14:paraId="13CBD5EC">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《南京市社会信用条例》</w:t>
            </w:r>
          </w:p>
          <w:p w14:paraId="0DDA687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第二十三条</w:t>
            </w:r>
          </w:p>
        </w:tc>
      </w:tr>
      <w:tr w14:paraId="1F02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restart"/>
            <w:vAlign w:val="center"/>
          </w:tcPr>
          <w:p w14:paraId="7025D1F0">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3</w:t>
            </w:r>
          </w:p>
        </w:tc>
        <w:tc>
          <w:tcPr>
            <w:tcW w:w="1781" w:type="dxa"/>
            <w:vMerge w:val="restart"/>
            <w:vAlign w:val="center"/>
          </w:tcPr>
          <w:p w14:paraId="75F3D5A0">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遵守法律法规情况信息</w:t>
            </w:r>
          </w:p>
        </w:tc>
        <w:tc>
          <w:tcPr>
            <w:tcW w:w="3827" w:type="dxa"/>
            <w:vAlign w:val="center"/>
          </w:tcPr>
          <w:p w14:paraId="26575BA1">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经依法确认的行政事业性收费或政府性基金，经催缴仍拒绝缴纳</w:t>
            </w:r>
            <w:r>
              <w:rPr>
                <w:rFonts w:hint="eastAsia" w:ascii="Times New Roman" w:hAnsi="Times New Roman" w:eastAsia="方正仿宋_GBK" w:cs="Times New Roman"/>
                <w:color w:val="000000" w:themeColor="text1"/>
                <w:szCs w:val="21"/>
                <w14:textFill>
                  <w14:solidFill>
                    <w14:schemeClr w14:val="tx1"/>
                  </w14:solidFill>
                </w14:textFill>
              </w:rPr>
              <w:t>的</w:t>
            </w:r>
            <w:r>
              <w:rPr>
                <w:rFonts w:ascii="Times New Roman" w:hAnsi="Times New Roman" w:eastAsia="方正仿宋_GBK" w:cs="Times New Roman"/>
                <w:color w:val="000000" w:themeColor="text1"/>
                <w:szCs w:val="21"/>
                <w14:textFill>
                  <w14:solidFill>
                    <w14:schemeClr w14:val="tx1"/>
                  </w14:solidFill>
                </w14:textFill>
              </w:rPr>
              <w:t>欠缴信息</w:t>
            </w:r>
          </w:p>
        </w:tc>
        <w:tc>
          <w:tcPr>
            <w:tcW w:w="2126" w:type="dxa"/>
            <w:vAlign w:val="center"/>
          </w:tcPr>
          <w:p w14:paraId="0062F6C0">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w:t>
            </w:r>
            <w:r>
              <w:rPr>
                <w:rFonts w:ascii="Times New Roman" w:hAnsi="Times New Roman" w:eastAsia="方正仿宋_GBK" w:cs="Times New Roman"/>
                <w:color w:val="000000" w:themeColor="text1"/>
                <w:szCs w:val="21"/>
                <w14:textFill>
                  <w14:solidFill>
                    <w14:schemeClr w14:val="tx1"/>
                  </w14:solidFill>
                </w14:textFill>
              </w:rPr>
              <w:t>法人和非法人组织</w:t>
            </w:r>
          </w:p>
        </w:tc>
        <w:tc>
          <w:tcPr>
            <w:tcW w:w="1843" w:type="dxa"/>
            <w:vAlign w:val="center"/>
          </w:tcPr>
          <w:p w14:paraId="6FA0CD42">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市财政局及有关执收部门</w:t>
            </w:r>
          </w:p>
        </w:tc>
        <w:tc>
          <w:tcPr>
            <w:tcW w:w="3544" w:type="dxa"/>
            <w:vAlign w:val="center"/>
          </w:tcPr>
          <w:p w14:paraId="06EF4EF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《南京市社会信用条例》</w:t>
            </w:r>
          </w:p>
          <w:p w14:paraId="25B4666B">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第二十三条</w:t>
            </w:r>
          </w:p>
        </w:tc>
      </w:tr>
      <w:tr w14:paraId="600D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3625824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5803B69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21805556">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物业服务企业未按照法律、法规规定、合同约定和技术标准、专业技术规范等提供日常物业服务的</w:t>
            </w:r>
            <w:r>
              <w:rPr>
                <w:rFonts w:hint="eastAsia" w:ascii="Times New Roman" w:hAnsi="Times New Roman" w:eastAsia="方正仿宋_GBK" w:cs="Times New Roman"/>
                <w:color w:val="000000" w:themeColor="text1"/>
                <w:szCs w:val="21"/>
                <w14:textFill>
                  <w14:solidFill>
                    <w14:schemeClr w14:val="tx1"/>
                  </w14:solidFill>
                </w14:textFill>
              </w:rPr>
              <w:t>信息</w:t>
            </w:r>
          </w:p>
        </w:tc>
        <w:tc>
          <w:tcPr>
            <w:tcW w:w="2126" w:type="dxa"/>
            <w:vAlign w:val="center"/>
          </w:tcPr>
          <w:p w14:paraId="53568A9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法人和非法人组织</w:t>
            </w:r>
          </w:p>
        </w:tc>
        <w:tc>
          <w:tcPr>
            <w:tcW w:w="1843" w:type="dxa"/>
            <w:vAlign w:val="center"/>
          </w:tcPr>
          <w:p w14:paraId="3A0FFEED">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市房产局</w:t>
            </w:r>
          </w:p>
        </w:tc>
        <w:tc>
          <w:tcPr>
            <w:tcW w:w="3544" w:type="dxa"/>
            <w:vAlign w:val="center"/>
          </w:tcPr>
          <w:p w14:paraId="102C454B">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《南京市住宅物业管理条例》</w:t>
            </w:r>
            <w:r>
              <w:rPr>
                <w:rFonts w:hint="eastAsia" w:ascii="Times New Roman" w:hAnsi="Times New Roman" w:eastAsia="方正仿宋_GBK" w:cs="Times New Roman"/>
                <w:color w:val="000000" w:themeColor="text1"/>
                <w:szCs w:val="21"/>
                <w14:textFill>
                  <w14:solidFill>
                    <w14:schemeClr w14:val="tx1"/>
                  </w14:solidFill>
                </w14:textFill>
              </w:rPr>
              <w:t>第五十条、第五十一条</w:t>
            </w:r>
          </w:p>
        </w:tc>
      </w:tr>
      <w:tr w14:paraId="685A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0B8F602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16680020">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2ED98432">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物业项目负责人</w:t>
            </w:r>
            <w:r>
              <w:rPr>
                <w:rFonts w:hint="eastAsia" w:ascii="Times New Roman" w:hAnsi="Times New Roman" w:eastAsia="方正仿宋_GBK" w:cs="Times New Roman"/>
                <w:color w:val="000000" w:themeColor="text1"/>
                <w:szCs w:val="21"/>
                <w14:textFill>
                  <w14:solidFill>
                    <w14:schemeClr w14:val="tx1"/>
                  </w14:solidFill>
                </w14:textFill>
              </w:rPr>
              <w:t>有</w:t>
            </w:r>
            <w:r>
              <w:rPr>
                <w:rFonts w:ascii="Times New Roman" w:hAnsi="Times New Roman" w:eastAsia="方正仿宋_GBK" w:cs="Times New Roman"/>
                <w:color w:val="000000" w:themeColor="text1"/>
                <w:szCs w:val="21"/>
                <w14:textFill>
                  <w14:solidFill>
                    <w14:schemeClr w14:val="tx1"/>
                  </w14:solidFill>
                </w14:textFill>
              </w:rPr>
              <w:t>《南京市住宅物业管理条例》第五十一条</w:t>
            </w:r>
            <w:r>
              <w:rPr>
                <w:rFonts w:hint="eastAsia" w:ascii="Times New Roman" w:hAnsi="Times New Roman" w:eastAsia="方正仿宋_GBK" w:cs="Times New Roman"/>
                <w:color w:val="000000" w:themeColor="text1"/>
                <w:szCs w:val="21"/>
                <w14:textFill>
                  <w14:solidFill>
                    <w14:schemeClr w14:val="tx1"/>
                  </w14:solidFill>
                </w14:textFill>
              </w:rPr>
              <w:t>所列严重失信行为的信息</w:t>
            </w:r>
          </w:p>
        </w:tc>
        <w:tc>
          <w:tcPr>
            <w:tcW w:w="2126" w:type="dxa"/>
            <w:vAlign w:val="center"/>
          </w:tcPr>
          <w:p w14:paraId="69B15152">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w:t>
            </w:r>
            <w:r>
              <w:rPr>
                <w:rFonts w:ascii="Times New Roman" w:hAnsi="Times New Roman" w:eastAsia="方正仿宋_GBK" w:cs="Times New Roman"/>
                <w:color w:val="000000" w:themeColor="text1"/>
                <w:szCs w:val="21"/>
                <w14:textFill>
                  <w14:solidFill>
                    <w14:schemeClr w14:val="tx1"/>
                  </w14:solidFill>
                </w14:textFill>
              </w:rPr>
              <w:t>法人和非法人组织</w:t>
            </w:r>
          </w:p>
        </w:tc>
        <w:tc>
          <w:tcPr>
            <w:tcW w:w="1843" w:type="dxa"/>
            <w:vAlign w:val="center"/>
          </w:tcPr>
          <w:p w14:paraId="5289AAD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市房产局</w:t>
            </w:r>
          </w:p>
        </w:tc>
        <w:tc>
          <w:tcPr>
            <w:tcW w:w="3544" w:type="dxa"/>
            <w:vAlign w:val="center"/>
          </w:tcPr>
          <w:p w14:paraId="0501BE0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《南京市住宅物业管理条例》</w:t>
            </w:r>
            <w:r>
              <w:rPr>
                <w:rFonts w:hint="eastAsia" w:ascii="Times New Roman" w:hAnsi="Times New Roman" w:eastAsia="方正仿宋_GBK" w:cs="Times New Roman"/>
                <w:color w:val="000000" w:themeColor="text1"/>
                <w:szCs w:val="21"/>
                <w14:textFill>
                  <w14:solidFill>
                    <w14:schemeClr w14:val="tx1"/>
                  </w14:solidFill>
                </w14:textFill>
              </w:rPr>
              <w:t>第五十一条</w:t>
            </w:r>
          </w:p>
        </w:tc>
      </w:tr>
      <w:tr w14:paraId="0C34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66" w:type="dxa"/>
            <w:vMerge w:val="continue"/>
            <w:vAlign w:val="center"/>
          </w:tcPr>
          <w:p w14:paraId="61AE3E5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749ADA0F">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73AC69B5">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生产经营单位及其有关从业人员安全生产违法行为信息</w:t>
            </w:r>
          </w:p>
        </w:tc>
        <w:tc>
          <w:tcPr>
            <w:tcW w:w="2126" w:type="dxa"/>
            <w:vAlign w:val="center"/>
          </w:tcPr>
          <w:p w14:paraId="38603320">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5D961B8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市应急管理局</w:t>
            </w:r>
          </w:p>
        </w:tc>
        <w:tc>
          <w:tcPr>
            <w:tcW w:w="3544" w:type="dxa"/>
            <w:vAlign w:val="center"/>
          </w:tcPr>
          <w:p w14:paraId="62AB002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《南京市安全生产条例》</w:t>
            </w:r>
          </w:p>
          <w:p w14:paraId="5530D60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第四十四条</w:t>
            </w:r>
          </w:p>
        </w:tc>
      </w:tr>
      <w:tr w14:paraId="2F0A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18244ED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43F0D50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09289E33">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对</w:t>
            </w:r>
            <w:r>
              <w:rPr>
                <w:rFonts w:ascii="Times New Roman" w:hAnsi="Times New Roman" w:eastAsia="方正仿宋_GBK" w:cs="Times New Roman"/>
                <w:color w:val="000000" w:themeColor="text1"/>
                <w:szCs w:val="21"/>
                <w14:textFill>
                  <w14:solidFill>
                    <w14:schemeClr w14:val="tx1"/>
                  </w14:solidFill>
                </w14:textFill>
              </w:rPr>
              <w:t>市急救中心和急救网络医院履职情况进行指导、检查、考核</w:t>
            </w:r>
            <w:r>
              <w:rPr>
                <w:rFonts w:hint="eastAsia" w:ascii="Times New Roman" w:hAnsi="Times New Roman" w:eastAsia="方正仿宋_GBK" w:cs="Times New Roman"/>
                <w:color w:val="000000" w:themeColor="text1"/>
                <w:szCs w:val="21"/>
                <w14:textFill>
                  <w14:solidFill>
                    <w14:schemeClr w14:val="tx1"/>
                  </w14:solidFill>
                </w14:textFill>
              </w:rPr>
              <w:t>等信息</w:t>
            </w:r>
          </w:p>
        </w:tc>
        <w:tc>
          <w:tcPr>
            <w:tcW w:w="2126" w:type="dxa"/>
            <w:vAlign w:val="center"/>
          </w:tcPr>
          <w:p w14:paraId="7649B04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法人和非法人组织</w:t>
            </w:r>
          </w:p>
        </w:tc>
        <w:tc>
          <w:tcPr>
            <w:tcW w:w="1843" w:type="dxa"/>
            <w:vAlign w:val="center"/>
          </w:tcPr>
          <w:p w14:paraId="03FCF5B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w:t>
            </w:r>
            <w:r>
              <w:rPr>
                <w:rFonts w:ascii="Times New Roman" w:hAnsi="Times New Roman" w:eastAsia="方正仿宋_GBK" w:cs="Times New Roman"/>
                <w:color w:val="000000" w:themeColor="text1"/>
                <w:szCs w:val="21"/>
                <w14:textFill>
                  <w14:solidFill>
                    <w14:schemeClr w14:val="tx1"/>
                  </w14:solidFill>
                </w14:textFill>
              </w:rPr>
              <w:t>卫生健康</w:t>
            </w:r>
            <w:r>
              <w:rPr>
                <w:rFonts w:hint="eastAsia" w:ascii="Times New Roman" w:hAnsi="Times New Roman" w:eastAsia="方正仿宋_GBK" w:cs="Times New Roman"/>
                <w:color w:val="000000" w:themeColor="text1"/>
                <w:szCs w:val="21"/>
                <w14:textFill>
                  <w14:solidFill>
                    <w14:schemeClr w14:val="tx1"/>
                  </w14:solidFill>
                </w14:textFill>
              </w:rPr>
              <w:t>委员会</w:t>
            </w:r>
          </w:p>
        </w:tc>
        <w:tc>
          <w:tcPr>
            <w:tcW w:w="3544" w:type="dxa"/>
            <w:vAlign w:val="center"/>
          </w:tcPr>
          <w:p w14:paraId="0D57446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南京市院前医疗急救条例</w:t>
            </w:r>
            <w:r>
              <w:rPr>
                <w:rFonts w:hint="eastAsia" w:ascii="Times New Roman" w:hAnsi="Times New Roman" w:eastAsia="方正仿宋_GBK" w:cs="Times New Roman"/>
                <w:color w:val="000000" w:themeColor="text1"/>
                <w:szCs w:val="21"/>
                <w14:textFill>
                  <w14:solidFill>
                    <w14:schemeClr w14:val="tx1"/>
                  </w14:solidFill>
                </w14:textFill>
              </w:rPr>
              <w:t>》第十五条</w:t>
            </w:r>
          </w:p>
        </w:tc>
      </w:tr>
      <w:tr w14:paraId="03BE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restart"/>
            <w:vAlign w:val="center"/>
          </w:tcPr>
          <w:p w14:paraId="30B7E17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3</w:t>
            </w:r>
          </w:p>
        </w:tc>
        <w:tc>
          <w:tcPr>
            <w:tcW w:w="1781" w:type="dxa"/>
            <w:vMerge w:val="restart"/>
            <w:vAlign w:val="center"/>
          </w:tcPr>
          <w:p w14:paraId="1950B878">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遵守法律法规情况信息</w:t>
            </w:r>
          </w:p>
        </w:tc>
        <w:tc>
          <w:tcPr>
            <w:tcW w:w="3827" w:type="dxa"/>
            <w:vAlign w:val="center"/>
          </w:tcPr>
          <w:p w14:paraId="48C19634">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电梯日常监督管理、行政处罚等信用信息</w:t>
            </w:r>
          </w:p>
        </w:tc>
        <w:tc>
          <w:tcPr>
            <w:tcW w:w="2126" w:type="dxa"/>
            <w:vAlign w:val="center"/>
          </w:tcPr>
          <w:p w14:paraId="45AC3516">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法人和非法人组织</w:t>
            </w:r>
          </w:p>
        </w:tc>
        <w:tc>
          <w:tcPr>
            <w:tcW w:w="1843" w:type="dxa"/>
            <w:vAlign w:val="center"/>
          </w:tcPr>
          <w:p w14:paraId="7A7D71EB">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市市场监督管理局</w:t>
            </w:r>
          </w:p>
        </w:tc>
        <w:tc>
          <w:tcPr>
            <w:tcW w:w="3544" w:type="dxa"/>
            <w:vAlign w:val="center"/>
          </w:tcPr>
          <w:p w14:paraId="398837E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南京市电梯安全条例</w:t>
            </w:r>
            <w:r>
              <w:rPr>
                <w:rFonts w:hint="eastAsia" w:ascii="Times New Roman" w:hAnsi="Times New Roman" w:eastAsia="方正仿宋_GBK" w:cs="Times New Roman"/>
                <w:color w:val="000000" w:themeColor="text1"/>
                <w:szCs w:val="21"/>
                <w14:textFill>
                  <w14:solidFill>
                    <w14:schemeClr w14:val="tx1"/>
                  </w14:solidFill>
                </w14:textFill>
              </w:rPr>
              <w:t>》</w:t>
            </w:r>
          </w:p>
          <w:p w14:paraId="39D5C31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第四十七条</w:t>
            </w:r>
          </w:p>
        </w:tc>
      </w:tr>
      <w:tr w14:paraId="2952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3675E2C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6388E8A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1651D650">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单位或者个人违反风景名胜区保护和管理规定</w:t>
            </w:r>
            <w:r>
              <w:rPr>
                <w:rFonts w:hint="eastAsia" w:ascii="Times New Roman" w:hAnsi="Times New Roman" w:eastAsia="方正仿宋_GBK" w:cs="Times New Roman"/>
                <w:color w:val="000000" w:themeColor="text1"/>
                <w:szCs w:val="21"/>
                <w14:textFill>
                  <w14:solidFill>
                    <w14:schemeClr w14:val="tx1"/>
                  </w14:solidFill>
                </w14:textFill>
              </w:rPr>
              <w:t>的信息</w:t>
            </w:r>
          </w:p>
        </w:tc>
        <w:tc>
          <w:tcPr>
            <w:tcW w:w="2126" w:type="dxa"/>
            <w:vAlign w:val="center"/>
          </w:tcPr>
          <w:p w14:paraId="5C9782C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3B8092E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相关行政主管部门</w:t>
            </w:r>
          </w:p>
        </w:tc>
        <w:tc>
          <w:tcPr>
            <w:tcW w:w="3544" w:type="dxa"/>
            <w:vAlign w:val="center"/>
          </w:tcPr>
          <w:p w14:paraId="4E8FE7B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南京市夫子庙秦淮风光带风景名胜区条例</w:t>
            </w:r>
            <w:r>
              <w:rPr>
                <w:rFonts w:hint="eastAsia" w:ascii="Times New Roman" w:hAnsi="Times New Roman" w:eastAsia="方正仿宋_GBK" w:cs="Times New Roman"/>
                <w:color w:val="000000" w:themeColor="text1"/>
                <w:szCs w:val="21"/>
                <w14:textFill>
                  <w14:solidFill>
                    <w14:schemeClr w14:val="tx1"/>
                  </w14:solidFill>
                </w14:textFill>
              </w:rPr>
              <w:t>》第五十五条</w:t>
            </w:r>
          </w:p>
        </w:tc>
      </w:tr>
      <w:tr w14:paraId="47F3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5261338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7601B46D">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3A73AE43">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《南京市</w:t>
            </w:r>
            <w:r>
              <w:rPr>
                <w:rFonts w:ascii="Times New Roman" w:hAnsi="Times New Roman" w:eastAsia="方正仿宋_GBK" w:cs="Times New Roman"/>
                <w:color w:val="000000" w:themeColor="text1"/>
                <w:szCs w:val="21"/>
                <w14:textFill>
                  <w14:solidFill>
                    <w14:schemeClr w14:val="tx1"/>
                  </w14:solidFill>
                </w14:textFill>
              </w:rPr>
              <w:t>生活垃圾管理</w:t>
            </w:r>
            <w:r>
              <w:rPr>
                <w:rFonts w:hint="eastAsia" w:ascii="Times New Roman" w:hAnsi="Times New Roman" w:eastAsia="方正仿宋_GBK" w:cs="Times New Roman"/>
                <w:color w:val="000000" w:themeColor="text1"/>
                <w:szCs w:val="21"/>
                <w14:textFill>
                  <w14:solidFill>
                    <w14:schemeClr w14:val="tx1"/>
                  </w14:solidFill>
                </w14:textFill>
              </w:rPr>
              <w:t>条例》</w:t>
            </w:r>
            <w:r>
              <w:rPr>
                <w:rFonts w:ascii="Times New Roman" w:hAnsi="Times New Roman" w:eastAsia="方正仿宋_GBK" w:cs="Times New Roman"/>
                <w:color w:val="000000" w:themeColor="text1"/>
                <w:szCs w:val="21"/>
                <w14:textFill>
                  <w14:solidFill>
                    <w14:schemeClr w14:val="tx1"/>
                  </w14:solidFill>
                </w14:textFill>
              </w:rPr>
              <w:t>的信息</w:t>
            </w:r>
          </w:p>
        </w:tc>
        <w:tc>
          <w:tcPr>
            <w:tcW w:w="2126" w:type="dxa"/>
            <w:vAlign w:val="center"/>
          </w:tcPr>
          <w:p w14:paraId="02F1132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7577F48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城管执法部门</w:t>
            </w:r>
          </w:p>
        </w:tc>
        <w:tc>
          <w:tcPr>
            <w:tcW w:w="3544" w:type="dxa"/>
            <w:vAlign w:val="center"/>
          </w:tcPr>
          <w:p w14:paraId="473B527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南京市生活垃圾管理条例</w:t>
            </w:r>
            <w:r>
              <w:rPr>
                <w:rFonts w:hint="eastAsia" w:ascii="Times New Roman" w:hAnsi="Times New Roman" w:eastAsia="方正仿宋_GBK" w:cs="Times New Roman"/>
                <w:color w:val="000000" w:themeColor="text1"/>
                <w:szCs w:val="21"/>
                <w14:textFill>
                  <w14:solidFill>
                    <w14:schemeClr w14:val="tx1"/>
                  </w14:solidFill>
                </w14:textFill>
              </w:rPr>
              <w:t>》第四十四条</w:t>
            </w:r>
          </w:p>
        </w:tc>
      </w:tr>
      <w:tr w14:paraId="3413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5F6F967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56EC4CB0">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4246E6A3">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市场经营者和场内经营者诚信经营情况</w:t>
            </w:r>
            <w:r>
              <w:rPr>
                <w:rFonts w:hint="eastAsia" w:ascii="Times New Roman" w:hAnsi="Times New Roman" w:eastAsia="方正仿宋_GBK" w:cs="Times New Roman"/>
                <w:color w:val="000000" w:themeColor="text1"/>
                <w:szCs w:val="21"/>
                <w14:textFill>
                  <w14:solidFill>
                    <w14:schemeClr w14:val="tx1"/>
                  </w14:solidFill>
                </w14:textFill>
              </w:rPr>
              <w:t>信息</w:t>
            </w:r>
          </w:p>
        </w:tc>
        <w:tc>
          <w:tcPr>
            <w:tcW w:w="2126" w:type="dxa"/>
            <w:vAlign w:val="center"/>
          </w:tcPr>
          <w:p w14:paraId="350AC7DE">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79A2628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市市场监督管理局</w:t>
            </w:r>
          </w:p>
        </w:tc>
        <w:tc>
          <w:tcPr>
            <w:tcW w:w="3544" w:type="dxa"/>
            <w:vAlign w:val="center"/>
          </w:tcPr>
          <w:p w14:paraId="65AA5E1B">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南京市商品交易市场管理条例</w:t>
            </w:r>
            <w:r>
              <w:rPr>
                <w:rFonts w:hint="eastAsia" w:ascii="Times New Roman" w:hAnsi="Times New Roman" w:eastAsia="方正仿宋_GBK" w:cs="Times New Roman"/>
                <w:color w:val="000000" w:themeColor="text1"/>
                <w:szCs w:val="21"/>
                <w14:textFill>
                  <w14:solidFill>
                    <w14:schemeClr w14:val="tx1"/>
                  </w14:solidFill>
                </w14:textFill>
              </w:rPr>
              <w:t>》第三十九条</w:t>
            </w:r>
          </w:p>
        </w:tc>
      </w:tr>
      <w:tr w14:paraId="4681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4952C37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072140D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21C129B6">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道路交通安全违法</w:t>
            </w:r>
            <w:r>
              <w:rPr>
                <w:rFonts w:hint="eastAsia" w:ascii="Times New Roman" w:hAnsi="Times New Roman" w:eastAsia="方正仿宋_GBK" w:cs="Times New Roman"/>
                <w:color w:val="000000" w:themeColor="text1"/>
                <w:szCs w:val="21"/>
                <w14:textFill>
                  <w14:solidFill>
                    <w14:schemeClr w14:val="tx1"/>
                  </w14:solidFill>
                </w14:textFill>
              </w:rPr>
              <w:t>等信息</w:t>
            </w:r>
          </w:p>
        </w:tc>
        <w:tc>
          <w:tcPr>
            <w:tcW w:w="2126" w:type="dxa"/>
            <w:vAlign w:val="center"/>
          </w:tcPr>
          <w:p w14:paraId="0A69E80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1BF76E9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市公安局</w:t>
            </w:r>
          </w:p>
        </w:tc>
        <w:tc>
          <w:tcPr>
            <w:tcW w:w="3544" w:type="dxa"/>
            <w:vAlign w:val="center"/>
          </w:tcPr>
          <w:p w14:paraId="76FCCE1D">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w:t>
            </w:r>
            <w:r>
              <w:rPr>
                <w:rFonts w:hint="eastAsia" w:ascii="Times New Roman" w:hAnsi="Times New Roman" w:eastAsia="方正仿宋_GBK" w:cs="Times New Roman"/>
                <w:color w:val="000000" w:themeColor="text1"/>
                <w:szCs w:val="21"/>
                <w14:textFill>
                  <w14:solidFill>
                    <w14:schemeClr w14:val="tx1"/>
                  </w14:solidFill>
                </w14:textFill>
              </w:rPr>
              <w:t>道路</w:t>
            </w:r>
            <w:r>
              <w:rPr>
                <w:rFonts w:ascii="Times New Roman" w:hAnsi="Times New Roman" w:eastAsia="方正仿宋_GBK" w:cs="Times New Roman"/>
                <w:color w:val="000000" w:themeColor="text1"/>
                <w:szCs w:val="21"/>
                <w14:textFill>
                  <w14:solidFill>
                    <w14:schemeClr w14:val="tx1"/>
                  </w14:solidFill>
                </w14:textFill>
              </w:rPr>
              <w:t>交通</w:t>
            </w:r>
            <w:r>
              <w:rPr>
                <w:rFonts w:hint="eastAsia" w:ascii="Times New Roman" w:hAnsi="Times New Roman" w:eastAsia="方正仿宋_GBK" w:cs="Times New Roman"/>
                <w:color w:val="000000" w:themeColor="text1"/>
                <w:szCs w:val="21"/>
                <w14:textFill>
                  <w14:solidFill>
                    <w14:schemeClr w14:val="tx1"/>
                  </w14:solidFill>
                </w14:textFill>
              </w:rPr>
              <w:t>安全</w:t>
            </w:r>
            <w:r>
              <w:rPr>
                <w:rFonts w:ascii="Times New Roman" w:hAnsi="Times New Roman" w:eastAsia="方正仿宋_GBK" w:cs="Times New Roman"/>
                <w:color w:val="000000" w:themeColor="text1"/>
                <w:szCs w:val="21"/>
                <w14:textFill>
                  <w14:solidFill>
                    <w14:schemeClr w14:val="tx1"/>
                  </w14:solidFill>
                </w14:textFill>
              </w:rPr>
              <w:t>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第五十</w:t>
            </w:r>
            <w:r>
              <w:rPr>
                <w:rFonts w:hint="eastAsia" w:ascii="Times New Roman" w:hAnsi="Times New Roman" w:eastAsia="方正仿宋_GBK" w:cs="Times New Roman"/>
                <w:color w:val="000000" w:themeColor="text1"/>
                <w:szCs w:val="21"/>
                <w14:textFill>
                  <w14:solidFill>
                    <w14:schemeClr w14:val="tx1"/>
                  </w14:solidFill>
                </w14:textFill>
              </w:rPr>
              <w:t>二</w:t>
            </w:r>
            <w:r>
              <w:rPr>
                <w:rFonts w:ascii="Times New Roman" w:hAnsi="Times New Roman" w:eastAsia="方正仿宋_GBK" w:cs="Times New Roman"/>
                <w:color w:val="000000" w:themeColor="text1"/>
                <w:szCs w:val="21"/>
                <w14:textFill>
                  <w14:solidFill>
                    <w14:schemeClr w14:val="tx1"/>
                  </w14:solidFill>
                </w14:textFill>
              </w:rPr>
              <w:t>条</w:t>
            </w:r>
          </w:p>
        </w:tc>
      </w:tr>
      <w:tr w14:paraId="3382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6AC38C3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6AE67E7B">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278F1B7D">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大气环境违法信息</w:t>
            </w:r>
          </w:p>
        </w:tc>
        <w:tc>
          <w:tcPr>
            <w:tcW w:w="2126" w:type="dxa"/>
            <w:vAlign w:val="center"/>
          </w:tcPr>
          <w:p w14:paraId="381E45FB">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7C6F712B">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w:t>
            </w:r>
            <w:r>
              <w:rPr>
                <w:rFonts w:ascii="Times New Roman" w:hAnsi="Times New Roman" w:eastAsia="方正仿宋_GBK" w:cs="Times New Roman"/>
                <w:color w:val="000000" w:themeColor="text1"/>
                <w:szCs w:val="21"/>
                <w14:textFill>
                  <w14:solidFill>
                    <w14:schemeClr w14:val="tx1"/>
                  </w14:solidFill>
                </w14:textFill>
              </w:rPr>
              <w:t>生态环境</w:t>
            </w:r>
            <w:r>
              <w:rPr>
                <w:rFonts w:hint="eastAsia" w:ascii="Times New Roman" w:hAnsi="Times New Roman" w:eastAsia="方正仿宋_GBK" w:cs="Times New Roman"/>
                <w:color w:val="000000" w:themeColor="text1"/>
                <w:szCs w:val="21"/>
                <w14:textFill>
                  <w14:solidFill>
                    <w14:schemeClr w14:val="tx1"/>
                  </w14:solidFill>
                </w14:textFill>
              </w:rPr>
              <w:t>局</w:t>
            </w:r>
            <w:r>
              <w:rPr>
                <w:rFonts w:ascii="Times New Roman" w:hAnsi="Times New Roman" w:eastAsia="方正仿宋_GBK" w:cs="Times New Roman"/>
                <w:color w:val="000000" w:themeColor="text1"/>
                <w:szCs w:val="21"/>
                <w14:textFill>
                  <w14:solidFill>
                    <w14:schemeClr w14:val="tx1"/>
                  </w14:solidFill>
                </w14:textFill>
              </w:rPr>
              <w:t>和有关部门</w:t>
            </w:r>
          </w:p>
        </w:tc>
        <w:tc>
          <w:tcPr>
            <w:tcW w:w="3544" w:type="dxa"/>
            <w:vAlign w:val="center"/>
          </w:tcPr>
          <w:p w14:paraId="19689F0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南京市大气污染防治条例</w:t>
            </w:r>
            <w:r>
              <w:rPr>
                <w:rFonts w:hint="eastAsia" w:ascii="Times New Roman" w:hAnsi="Times New Roman" w:eastAsia="方正仿宋_GBK" w:cs="Times New Roman"/>
                <w:color w:val="000000" w:themeColor="text1"/>
                <w:szCs w:val="21"/>
                <w14:textFill>
                  <w14:solidFill>
                    <w14:schemeClr w14:val="tx1"/>
                  </w14:solidFill>
                </w14:textFill>
              </w:rPr>
              <w:t>》第二十七条</w:t>
            </w:r>
          </w:p>
        </w:tc>
      </w:tr>
      <w:tr w14:paraId="10C3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340BE44C">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4742191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4DC96D42">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违反</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南京市管线管理条例</w:t>
            </w: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规定，被有关行政主管部门认定为不良信用行为的</w:t>
            </w:r>
          </w:p>
        </w:tc>
        <w:tc>
          <w:tcPr>
            <w:tcW w:w="2126" w:type="dxa"/>
            <w:vAlign w:val="center"/>
          </w:tcPr>
          <w:p w14:paraId="4371580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法人和非法人组织</w:t>
            </w:r>
          </w:p>
        </w:tc>
        <w:tc>
          <w:tcPr>
            <w:tcW w:w="1843" w:type="dxa"/>
            <w:vAlign w:val="center"/>
          </w:tcPr>
          <w:p w14:paraId="6E4A5F8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市规划和自然资源局</w:t>
            </w:r>
          </w:p>
        </w:tc>
        <w:tc>
          <w:tcPr>
            <w:tcW w:w="3544" w:type="dxa"/>
            <w:vAlign w:val="center"/>
          </w:tcPr>
          <w:p w14:paraId="363FA23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南京市管线管理条例</w:t>
            </w:r>
            <w:r>
              <w:rPr>
                <w:rFonts w:hint="eastAsia" w:ascii="Times New Roman" w:hAnsi="Times New Roman" w:eastAsia="方正仿宋_GBK" w:cs="Times New Roman"/>
                <w:color w:val="000000" w:themeColor="text1"/>
                <w:szCs w:val="21"/>
                <w14:textFill>
                  <w14:solidFill>
                    <w14:schemeClr w14:val="tx1"/>
                  </w14:solidFill>
                </w14:textFill>
              </w:rPr>
              <w:t>》</w:t>
            </w:r>
          </w:p>
          <w:p w14:paraId="423F3900">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第五十六条</w:t>
            </w:r>
          </w:p>
        </w:tc>
      </w:tr>
      <w:tr w14:paraId="25BB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339BA55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752271B0">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4570558A">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旅游行业信用档案和旅游不文明行为记录</w:t>
            </w:r>
          </w:p>
        </w:tc>
        <w:tc>
          <w:tcPr>
            <w:tcW w:w="2126" w:type="dxa"/>
            <w:vAlign w:val="center"/>
          </w:tcPr>
          <w:p w14:paraId="018E587E">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4CE5869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市文旅局</w:t>
            </w:r>
          </w:p>
        </w:tc>
        <w:tc>
          <w:tcPr>
            <w:tcW w:w="3544" w:type="dxa"/>
            <w:vAlign w:val="center"/>
          </w:tcPr>
          <w:p w14:paraId="1C68CD6F">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南京市旅游条例</w:t>
            </w:r>
            <w:r>
              <w:rPr>
                <w:rFonts w:hint="eastAsia" w:ascii="Times New Roman" w:hAnsi="Times New Roman" w:eastAsia="方正仿宋_GBK" w:cs="Times New Roman"/>
                <w:color w:val="000000" w:themeColor="text1"/>
                <w:szCs w:val="21"/>
                <w14:textFill>
                  <w14:solidFill>
                    <w14:schemeClr w14:val="tx1"/>
                  </w14:solidFill>
                </w14:textFill>
              </w:rPr>
              <w:t>》</w:t>
            </w:r>
          </w:p>
          <w:p w14:paraId="7B9DEF5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第五十一条</w:t>
            </w:r>
          </w:p>
        </w:tc>
      </w:tr>
      <w:tr w14:paraId="5D88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361EBAF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53F692AE">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356602F7">
            <w:pPr>
              <w:adjustRightInd w:val="0"/>
              <w:snapToGrid w:val="0"/>
              <w:jc w:val="both"/>
              <w:rPr>
                <w:rFonts w:ascii="Times New Roman" w:hAnsi="Times New Roman" w:eastAsia="方正仿宋_GBK" w:cs="Times New Roman"/>
                <w:strike/>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消防查验技术服务机构及其从业人员信用信息</w:t>
            </w:r>
          </w:p>
        </w:tc>
        <w:tc>
          <w:tcPr>
            <w:tcW w:w="2126" w:type="dxa"/>
            <w:vAlign w:val="center"/>
          </w:tcPr>
          <w:p w14:paraId="258C8AD5">
            <w:pPr>
              <w:adjustRightInd w:val="0"/>
              <w:snapToGrid w:val="0"/>
              <w:jc w:val="center"/>
              <w:rPr>
                <w:rFonts w:ascii="Times New Roman" w:hAnsi="Times New Roman" w:eastAsia="方正仿宋_GBK" w:cs="Times New Roman"/>
                <w:strike/>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1BB6E3B3">
            <w:pPr>
              <w:adjustRightInd w:val="0"/>
              <w:snapToGrid w:val="0"/>
              <w:jc w:val="center"/>
              <w:rPr>
                <w:rFonts w:ascii="Times New Roman" w:hAnsi="Times New Roman" w:eastAsia="方正仿宋_GBK" w:cs="Times New Roman"/>
                <w:strike/>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市建委</w:t>
            </w:r>
          </w:p>
        </w:tc>
        <w:tc>
          <w:tcPr>
            <w:tcW w:w="3544" w:type="dxa"/>
            <w:vAlign w:val="center"/>
          </w:tcPr>
          <w:p w14:paraId="156412F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w:t>
            </w:r>
            <w:r>
              <w:rPr>
                <w:rFonts w:hint="eastAsia" w:ascii="Times New Roman" w:hAnsi="Times New Roman" w:eastAsia="方正仿宋_GBK" w:cs="Times New Roman"/>
                <w:color w:val="000000" w:themeColor="text1"/>
                <w:szCs w:val="21"/>
                <w14:textFill>
                  <w14:solidFill>
                    <w14:schemeClr w14:val="tx1"/>
                  </w14:solidFill>
                </w14:textFill>
              </w:rPr>
              <w:t>南京市消防条例</w:t>
            </w:r>
            <w:r>
              <w:rPr>
                <w:rFonts w:ascii="Times New Roman" w:hAnsi="Times New Roman" w:eastAsia="方正仿宋_GBK" w:cs="Times New Roman"/>
                <w:color w:val="000000" w:themeColor="text1"/>
                <w:szCs w:val="21"/>
                <w14:textFill>
                  <w14:solidFill>
                    <w14:schemeClr w14:val="tx1"/>
                  </w14:solidFill>
                </w14:textFill>
              </w:rPr>
              <w:t>》</w:t>
            </w:r>
          </w:p>
          <w:p w14:paraId="524A0718">
            <w:pPr>
              <w:adjustRightInd w:val="0"/>
              <w:snapToGrid w:val="0"/>
              <w:jc w:val="center"/>
              <w:rPr>
                <w:rFonts w:ascii="Times New Roman" w:hAnsi="Times New Roman" w:eastAsia="方正仿宋_GBK" w:cs="Times New Roman"/>
                <w:strike/>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第十六条、第六十七条</w:t>
            </w:r>
          </w:p>
        </w:tc>
      </w:tr>
      <w:tr w14:paraId="2585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1AB7C96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17B63D2D">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4555A922">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违反</w:t>
            </w:r>
            <w:r>
              <w:rPr>
                <w:rFonts w:ascii="Times New Roman" w:hAnsi="Times New Roman" w:eastAsia="方正仿宋_GBK" w:cs="Times New Roman"/>
                <w:color w:val="000000" w:themeColor="text1"/>
                <w:szCs w:val="21"/>
                <w14:textFill>
                  <w14:solidFill>
                    <w14:schemeClr w14:val="tx1"/>
                  </w14:solidFill>
                </w14:textFill>
              </w:rPr>
              <w:t>《南京市轨道交通条例》第六</w:t>
            </w:r>
            <w:r>
              <w:rPr>
                <w:rFonts w:hint="eastAsia" w:ascii="Times New Roman" w:hAnsi="Times New Roman" w:eastAsia="方正仿宋_GBK" w:cs="Times New Roman"/>
                <w:color w:val="000000" w:themeColor="text1"/>
                <w:szCs w:val="21"/>
                <w14:textFill>
                  <w14:solidFill>
                    <w14:schemeClr w14:val="tx1"/>
                  </w14:solidFill>
                </w14:textFill>
              </w:rPr>
              <w:t>十三</w:t>
            </w:r>
            <w:r>
              <w:rPr>
                <w:rFonts w:ascii="Times New Roman" w:hAnsi="Times New Roman" w:eastAsia="方正仿宋_GBK" w:cs="Times New Roman"/>
                <w:color w:val="000000" w:themeColor="text1"/>
                <w:szCs w:val="21"/>
                <w14:textFill>
                  <w14:solidFill>
                    <w14:schemeClr w14:val="tx1"/>
                  </w14:solidFill>
                </w14:textFill>
              </w:rPr>
              <w:t>条</w:t>
            </w:r>
            <w:r>
              <w:rPr>
                <w:rFonts w:hint="eastAsia" w:ascii="Times New Roman" w:hAnsi="Times New Roman" w:eastAsia="方正仿宋_GBK" w:cs="Times New Roman"/>
                <w:color w:val="000000" w:themeColor="text1"/>
                <w:szCs w:val="21"/>
                <w14:textFill>
                  <w14:solidFill>
                    <w14:schemeClr w14:val="tx1"/>
                  </w14:solidFill>
                </w14:textFill>
              </w:rPr>
              <w:t>的信息</w:t>
            </w:r>
          </w:p>
        </w:tc>
        <w:tc>
          <w:tcPr>
            <w:tcW w:w="2126" w:type="dxa"/>
            <w:vAlign w:val="center"/>
          </w:tcPr>
          <w:p w14:paraId="024669A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自然人</w:t>
            </w:r>
          </w:p>
        </w:tc>
        <w:tc>
          <w:tcPr>
            <w:tcW w:w="1843" w:type="dxa"/>
            <w:vAlign w:val="center"/>
          </w:tcPr>
          <w:p w14:paraId="624EE4A8">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地铁集团</w:t>
            </w:r>
          </w:p>
        </w:tc>
        <w:tc>
          <w:tcPr>
            <w:tcW w:w="3544" w:type="dxa"/>
            <w:vAlign w:val="center"/>
          </w:tcPr>
          <w:p w14:paraId="07A6F075">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南京市轨道交通条例</w:t>
            </w:r>
            <w:r>
              <w:rPr>
                <w:rFonts w:hint="eastAsia" w:ascii="Times New Roman" w:hAnsi="Times New Roman" w:eastAsia="方正仿宋_GBK" w:cs="Times New Roman"/>
                <w:color w:val="000000" w:themeColor="text1"/>
                <w:szCs w:val="21"/>
                <w14:textFill>
                  <w14:solidFill>
                    <w14:schemeClr w14:val="tx1"/>
                  </w14:solidFill>
                </w14:textFill>
              </w:rPr>
              <w:t>》</w:t>
            </w:r>
          </w:p>
          <w:p w14:paraId="2A63607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第</w:t>
            </w:r>
            <w:r>
              <w:rPr>
                <w:rFonts w:hint="eastAsia" w:ascii="Times New Roman" w:hAnsi="Times New Roman" w:eastAsia="方正仿宋_GBK" w:cs="Times New Roman"/>
                <w:color w:val="000000" w:themeColor="text1"/>
                <w:szCs w:val="21"/>
                <w14:textFill>
                  <w14:solidFill>
                    <w14:schemeClr w14:val="tx1"/>
                  </w14:solidFill>
                </w14:textFill>
              </w:rPr>
              <w:t>六十三</w:t>
            </w:r>
            <w:r>
              <w:rPr>
                <w:rFonts w:ascii="Times New Roman" w:hAnsi="Times New Roman" w:eastAsia="方正仿宋_GBK" w:cs="Times New Roman"/>
                <w:color w:val="000000" w:themeColor="text1"/>
                <w:szCs w:val="21"/>
                <w14:textFill>
                  <w14:solidFill>
                    <w14:schemeClr w14:val="tx1"/>
                  </w14:solidFill>
                </w14:textFill>
              </w:rPr>
              <w:t>条</w:t>
            </w:r>
          </w:p>
        </w:tc>
      </w:tr>
      <w:tr w14:paraId="06D7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0359F4C6">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2D0FFB2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59234CAD">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排污单位遵守水环境保护法律、法规的情况</w:t>
            </w:r>
          </w:p>
        </w:tc>
        <w:tc>
          <w:tcPr>
            <w:tcW w:w="2126" w:type="dxa"/>
            <w:vAlign w:val="center"/>
          </w:tcPr>
          <w:p w14:paraId="3A41818F">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法人和非法人组织</w:t>
            </w:r>
          </w:p>
        </w:tc>
        <w:tc>
          <w:tcPr>
            <w:tcW w:w="1843" w:type="dxa"/>
            <w:vAlign w:val="center"/>
          </w:tcPr>
          <w:p w14:paraId="7E14165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市、县（区）人民政府及其有关部门</w:t>
            </w:r>
          </w:p>
        </w:tc>
        <w:tc>
          <w:tcPr>
            <w:tcW w:w="3544" w:type="dxa"/>
            <w:vAlign w:val="center"/>
          </w:tcPr>
          <w:p w14:paraId="63A96403">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w:t>
            </w:r>
            <w:r>
              <w:rPr>
                <w:rFonts w:ascii="Times New Roman" w:hAnsi="Times New Roman" w:eastAsia="方正仿宋_GBK" w:cs="Times New Roman"/>
                <w:color w:val="000000" w:themeColor="text1"/>
                <w:szCs w:val="21"/>
                <w14:textFill>
                  <w14:solidFill>
                    <w14:schemeClr w14:val="tx1"/>
                  </w14:solidFill>
                </w14:textFill>
              </w:rPr>
              <w:t>南京市水环境保护条例</w:t>
            </w:r>
            <w:r>
              <w:rPr>
                <w:rFonts w:hint="eastAsia" w:ascii="Times New Roman" w:hAnsi="Times New Roman" w:eastAsia="方正仿宋_GBK" w:cs="Times New Roman"/>
                <w:color w:val="000000" w:themeColor="text1"/>
                <w:szCs w:val="21"/>
                <w14:textFill>
                  <w14:solidFill>
                    <w14:schemeClr w14:val="tx1"/>
                  </w14:solidFill>
                </w14:textFill>
              </w:rPr>
              <w:t>》</w:t>
            </w:r>
          </w:p>
          <w:p w14:paraId="746EBCA6">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hint="eastAsia" w:ascii="Times New Roman" w:hAnsi="Times New Roman" w:eastAsia="方正仿宋_GBK" w:cs="Times New Roman"/>
                <w:color w:val="000000" w:themeColor="text1"/>
                <w:szCs w:val="21"/>
                <w14:textFill>
                  <w14:solidFill>
                    <w14:schemeClr w14:val="tx1"/>
                  </w14:solidFill>
                </w14:textFill>
              </w:rPr>
              <w:t>第五十五条</w:t>
            </w:r>
          </w:p>
        </w:tc>
      </w:tr>
      <w:tr w14:paraId="1FA0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7" w:type="dxa"/>
            <w:gridSpan w:val="6"/>
            <w:vAlign w:val="center"/>
          </w:tcPr>
          <w:p w14:paraId="1A863B46">
            <w:pPr>
              <w:adjustRightInd w:val="0"/>
              <w:snapToGrid w:val="0"/>
              <w:jc w:val="both"/>
              <w:rPr>
                <w:rFonts w:ascii="Times New Roman" w:hAnsi="Times New Roman" w:eastAsia="方正楷体_GBK" w:cs="Times New Roman"/>
                <w:color w:val="000000" w:themeColor="text1"/>
                <w:szCs w:val="21"/>
                <w14:textFill>
                  <w14:solidFill>
                    <w14:schemeClr w14:val="tx1"/>
                  </w14:solidFill>
                </w14:textFill>
              </w:rPr>
            </w:pPr>
            <w:r>
              <w:rPr>
                <w:rFonts w:ascii="Times New Roman" w:hAnsi="Times New Roman" w:eastAsia="方正楷体_GBK" w:cs="Times New Roman"/>
                <w:color w:val="000000" w:themeColor="text1"/>
                <w:szCs w:val="21"/>
                <w14:textFill>
                  <w14:solidFill>
                    <w14:schemeClr w14:val="tx1"/>
                  </w14:solidFill>
                </w14:textFill>
              </w:rPr>
              <w:t>二、江苏省公共信用信息补充目录</w:t>
            </w:r>
          </w:p>
        </w:tc>
      </w:tr>
      <w:tr w14:paraId="582B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restart"/>
            <w:vAlign w:val="center"/>
          </w:tcPr>
          <w:p w14:paraId="59866CB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1</w:t>
            </w:r>
          </w:p>
        </w:tc>
        <w:tc>
          <w:tcPr>
            <w:tcW w:w="1781" w:type="dxa"/>
            <w:vMerge w:val="restart"/>
            <w:vAlign w:val="center"/>
          </w:tcPr>
          <w:p w14:paraId="1505D8A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弄虚作假行为信息</w:t>
            </w:r>
          </w:p>
        </w:tc>
        <w:tc>
          <w:tcPr>
            <w:tcW w:w="3827" w:type="dxa"/>
            <w:vAlign w:val="center"/>
          </w:tcPr>
          <w:p w14:paraId="1C54C07B">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骗取社会保险待遇，或者以欺骗手段申请办理商事登记、不动产登记以及相关业务的信息</w:t>
            </w:r>
          </w:p>
        </w:tc>
        <w:tc>
          <w:tcPr>
            <w:tcW w:w="2126" w:type="dxa"/>
            <w:vAlign w:val="center"/>
          </w:tcPr>
          <w:p w14:paraId="7A68EB4C">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自然人</w:t>
            </w:r>
          </w:p>
        </w:tc>
        <w:tc>
          <w:tcPr>
            <w:tcW w:w="1843" w:type="dxa"/>
            <w:vAlign w:val="center"/>
          </w:tcPr>
          <w:p w14:paraId="2617C0CA">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c>
          <w:tcPr>
            <w:tcW w:w="3544" w:type="dxa"/>
            <w:vMerge w:val="restart"/>
            <w:vAlign w:val="center"/>
          </w:tcPr>
          <w:p w14:paraId="784BDAB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《南京市社会信用条例》</w:t>
            </w:r>
          </w:p>
          <w:p w14:paraId="1112E72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第二十三条</w:t>
            </w:r>
          </w:p>
        </w:tc>
      </w:tr>
      <w:tr w14:paraId="357B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078FD4E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33E66ACB">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299BCA49">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学术不端，骗取国家荣誉、项目、专业技术资格，以及在国家、省、市组织的统一考试中作弊的信息</w:t>
            </w:r>
          </w:p>
        </w:tc>
        <w:tc>
          <w:tcPr>
            <w:tcW w:w="2126" w:type="dxa"/>
            <w:vAlign w:val="center"/>
          </w:tcPr>
          <w:p w14:paraId="58AC1282">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自然人</w:t>
            </w:r>
          </w:p>
        </w:tc>
        <w:tc>
          <w:tcPr>
            <w:tcW w:w="1843" w:type="dxa"/>
            <w:vAlign w:val="center"/>
          </w:tcPr>
          <w:p w14:paraId="5C4EE3B6">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c>
          <w:tcPr>
            <w:tcW w:w="3544" w:type="dxa"/>
            <w:vMerge w:val="continue"/>
            <w:vAlign w:val="center"/>
          </w:tcPr>
          <w:p w14:paraId="598298D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r>
      <w:tr w14:paraId="64D0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7" w:type="dxa"/>
            <w:gridSpan w:val="6"/>
            <w:vAlign w:val="center"/>
          </w:tcPr>
          <w:p w14:paraId="2C00BEE8">
            <w:pPr>
              <w:adjustRightInd w:val="0"/>
              <w:snapToGrid w:val="0"/>
              <w:jc w:val="both"/>
              <w:rPr>
                <w:rFonts w:ascii="Times New Roman" w:hAnsi="Times New Roman" w:eastAsia="方正楷体_GBK" w:cs="Times New Roman"/>
                <w:color w:val="000000" w:themeColor="text1"/>
                <w:szCs w:val="21"/>
                <w14:textFill>
                  <w14:solidFill>
                    <w14:schemeClr w14:val="tx1"/>
                  </w14:solidFill>
                </w14:textFill>
              </w:rPr>
            </w:pPr>
            <w:r>
              <w:rPr>
                <w:rFonts w:ascii="Times New Roman" w:hAnsi="Times New Roman" w:eastAsia="方正楷体_GBK" w:cs="Times New Roman"/>
                <w:color w:val="000000" w:themeColor="text1"/>
                <w:szCs w:val="21"/>
                <w14:textFill>
                  <w14:solidFill>
                    <w14:schemeClr w14:val="tx1"/>
                  </w14:solidFill>
                </w14:textFill>
              </w:rPr>
              <w:t>三、南京市公共信用信息补充目录</w:t>
            </w:r>
          </w:p>
        </w:tc>
      </w:tr>
      <w:tr w14:paraId="2FDA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restart"/>
            <w:vAlign w:val="center"/>
          </w:tcPr>
          <w:p w14:paraId="1C65D21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1</w:t>
            </w:r>
          </w:p>
        </w:tc>
        <w:tc>
          <w:tcPr>
            <w:tcW w:w="1781" w:type="dxa"/>
            <w:vMerge w:val="restart"/>
            <w:vAlign w:val="center"/>
          </w:tcPr>
          <w:p w14:paraId="0939C481">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志愿服务、慈善捐赠、见义勇为等信息</w:t>
            </w:r>
          </w:p>
        </w:tc>
        <w:tc>
          <w:tcPr>
            <w:tcW w:w="3827" w:type="dxa"/>
            <w:vAlign w:val="center"/>
          </w:tcPr>
          <w:p w14:paraId="08343DEB">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志愿服务信息</w:t>
            </w:r>
          </w:p>
        </w:tc>
        <w:tc>
          <w:tcPr>
            <w:tcW w:w="2126" w:type="dxa"/>
            <w:vAlign w:val="center"/>
          </w:tcPr>
          <w:p w14:paraId="5738048F">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1B13D7E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c>
          <w:tcPr>
            <w:tcW w:w="3544" w:type="dxa"/>
            <w:vMerge w:val="restart"/>
            <w:vAlign w:val="center"/>
          </w:tcPr>
          <w:p w14:paraId="634DF58E">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《南京市社会信用条例》</w:t>
            </w:r>
          </w:p>
          <w:p w14:paraId="40D23D79">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第二十二条</w:t>
            </w:r>
          </w:p>
        </w:tc>
      </w:tr>
      <w:tr w14:paraId="0CA1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67A128ED">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2CABF8E5">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5C783923">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慈善捐赠信息</w:t>
            </w:r>
          </w:p>
        </w:tc>
        <w:tc>
          <w:tcPr>
            <w:tcW w:w="2126" w:type="dxa"/>
            <w:vAlign w:val="center"/>
          </w:tcPr>
          <w:p w14:paraId="0B34ECA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08677C97">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c>
          <w:tcPr>
            <w:tcW w:w="3544" w:type="dxa"/>
            <w:vMerge w:val="continue"/>
            <w:vAlign w:val="center"/>
          </w:tcPr>
          <w:p w14:paraId="05236FFF">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r>
      <w:tr w14:paraId="02FA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Merge w:val="continue"/>
            <w:vAlign w:val="center"/>
          </w:tcPr>
          <w:p w14:paraId="267CFFA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c>
          <w:tcPr>
            <w:tcW w:w="1781" w:type="dxa"/>
            <w:vMerge w:val="continue"/>
            <w:vAlign w:val="center"/>
          </w:tcPr>
          <w:p w14:paraId="2467FB37">
            <w:pPr>
              <w:adjustRightInd w:val="0"/>
              <w:snapToGrid w:val="0"/>
              <w:rPr>
                <w:rFonts w:ascii="Times New Roman" w:hAnsi="Times New Roman" w:eastAsia="方正仿宋_GBK" w:cs="Times New Roman"/>
                <w:color w:val="000000" w:themeColor="text1"/>
                <w:szCs w:val="21"/>
                <w14:textFill>
                  <w14:solidFill>
                    <w14:schemeClr w14:val="tx1"/>
                  </w14:solidFill>
                </w14:textFill>
              </w:rPr>
            </w:pPr>
          </w:p>
        </w:tc>
        <w:tc>
          <w:tcPr>
            <w:tcW w:w="3827" w:type="dxa"/>
            <w:vAlign w:val="center"/>
          </w:tcPr>
          <w:p w14:paraId="441D2F24">
            <w:pPr>
              <w:adjustRightInd w:val="0"/>
              <w:snapToGrid w:val="0"/>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见义勇为信息</w:t>
            </w:r>
          </w:p>
        </w:tc>
        <w:tc>
          <w:tcPr>
            <w:tcW w:w="2126" w:type="dxa"/>
            <w:vAlign w:val="center"/>
          </w:tcPr>
          <w:p w14:paraId="2EA660D4">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自然人、法人和非法人组织</w:t>
            </w:r>
          </w:p>
        </w:tc>
        <w:tc>
          <w:tcPr>
            <w:tcW w:w="1843" w:type="dxa"/>
            <w:vAlign w:val="center"/>
          </w:tcPr>
          <w:p w14:paraId="3FDD7C4F">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仿宋_GBK" w:cs="Times New Roman"/>
                <w:color w:val="000000" w:themeColor="text1"/>
                <w:szCs w:val="21"/>
                <w14:textFill>
                  <w14:solidFill>
                    <w14:schemeClr w14:val="tx1"/>
                  </w14:solidFill>
                </w14:textFill>
              </w:rPr>
              <w:t>有关部门</w:t>
            </w:r>
          </w:p>
        </w:tc>
        <w:tc>
          <w:tcPr>
            <w:tcW w:w="3544" w:type="dxa"/>
            <w:vMerge w:val="continue"/>
            <w:vAlign w:val="center"/>
          </w:tcPr>
          <w:p w14:paraId="2EF6ADA1">
            <w:pPr>
              <w:adjustRightInd w:val="0"/>
              <w:snapToGrid w:val="0"/>
              <w:jc w:val="center"/>
              <w:rPr>
                <w:rFonts w:ascii="Times New Roman" w:hAnsi="Times New Roman" w:eastAsia="方正仿宋_GBK" w:cs="Times New Roman"/>
                <w:color w:val="000000" w:themeColor="text1"/>
                <w:szCs w:val="21"/>
                <w14:textFill>
                  <w14:solidFill>
                    <w14:schemeClr w14:val="tx1"/>
                  </w14:solidFill>
                </w14:textFill>
              </w:rPr>
            </w:pPr>
          </w:p>
        </w:tc>
      </w:tr>
    </w:tbl>
    <w:p w14:paraId="442DB542">
      <w:pPr>
        <w:rPr>
          <w:rFonts w:ascii="Times New Roman" w:hAnsi="Times New Roman" w:cs="Times New Roman"/>
          <w:b/>
          <w:bCs/>
          <w:sz w:val="21"/>
          <w:szCs w:val="21"/>
        </w:rPr>
      </w:pPr>
    </w:p>
    <w:p w14:paraId="0D791247">
      <w:pPr>
        <w:rPr>
          <w:rFonts w:ascii="Times New Roman" w:hAnsi="Times New Roman" w:cs="Times New Roman"/>
          <w:b/>
          <w:bCs/>
          <w:sz w:val="21"/>
          <w:szCs w:val="21"/>
        </w:rPr>
      </w:pPr>
    </w:p>
    <w:p w14:paraId="00F7E49D">
      <w:pPr>
        <w:jc w:val="both"/>
        <w:rPr>
          <w:rFonts w:hint="eastAsia" w:ascii="Times New Roman" w:hAnsi="Times New Roman" w:cs="Times New Roman"/>
          <w:b/>
          <w:bCs/>
          <w:sz w:val="21"/>
          <w:szCs w:val="21"/>
        </w:rPr>
      </w:pPr>
    </w:p>
    <w:sectPr>
      <w:footerReference r:id="rId5" w:type="default"/>
      <w:pgSz w:w="16838" w:h="11906" w:orient="landscape"/>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4CAFFA-8BB1-4C78-B7FD-2C238C1424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2" w:fontKey="{8729D289-CABB-49F0-BBD2-D758F9AC4E26}"/>
  </w:font>
  <w:font w:name="方正仿宋_GBK">
    <w:panose1 w:val="03000509000000000000"/>
    <w:charset w:val="86"/>
    <w:family w:val="auto"/>
    <w:pitch w:val="default"/>
    <w:sig w:usb0="00000001" w:usb1="080E0000" w:usb2="00000000" w:usb3="00000000" w:csb0="00040000" w:csb1="00000000"/>
    <w:embedRegular r:id="rId3" w:fontKey="{0BB6B655-31CD-4D22-8C7A-3E0D2C656CBB}"/>
  </w:font>
  <w:font w:name="方正楷体_GBK">
    <w:panose1 w:val="03000509000000000000"/>
    <w:charset w:val="86"/>
    <w:family w:val="auto"/>
    <w:pitch w:val="default"/>
    <w:sig w:usb0="00000001" w:usb1="080E0000" w:usb2="00000000" w:usb3="00000000" w:csb0="00040000" w:csb1="00000000"/>
    <w:embedRegular r:id="rId4" w:fontKey="{898677D6-3FE5-4BCC-8FDE-0456880B03D7}"/>
  </w:font>
  <w:font w:name="仿宋">
    <w:panose1 w:val="02010609060101010101"/>
    <w:charset w:val="86"/>
    <w:family w:val="modern"/>
    <w:pitch w:val="default"/>
    <w:sig w:usb0="800002BF" w:usb1="38CF7CFA" w:usb2="00000016" w:usb3="00000000" w:csb0="00040001" w:csb1="00000000"/>
    <w:embedRegular r:id="rId5" w:fontKey="{A2EE99B0-5F42-499B-B162-9CD034E06DA2}"/>
  </w:font>
  <w:font w:name="Times">
    <w:altName w:val="Times New Roman"/>
    <w:panose1 w:val="00000500000000020000"/>
    <w:charset w:val="00"/>
    <w:family w:val="auto"/>
    <w:pitch w:val="default"/>
    <w:sig w:usb0="00000000" w:usb1="00000000" w:usb2="00000000" w:usb3="00000000" w:csb0="0000019F" w:csb1="00000000"/>
    <w:embedRegular r:id="rId6" w:fontKey="{D58DFCA1-15BC-4B6A-8784-7099DA8C56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781883831"/>
    </w:sdtPr>
    <w:sdtEndPr>
      <w:rPr>
        <w:rStyle w:val="10"/>
        <w:rFonts w:ascii="Times" w:hAnsi="Times"/>
        <w:sz w:val="21"/>
        <w:szCs w:val="21"/>
      </w:rPr>
    </w:sdtEndPr>
    <w:sdtContent>
      <w:p w14:paraId="7F9CFEBA">
        <w:pPr>
          <w:pStyle w:val="3"/>
          <w:framePr w:wrap="auto" w:vAnchor="text" w:hAnchor="margin" w:xAlign="center" w:y="1"/>
          <w:rPr>
            <w:rStyle w:val="10"/>
            <w:rFonts w:ascii="Times" w:hAnsi="Times"/>
            <w:sz w:val="21"/>
            <w:szCs w:val="21"/>
          </w:rPr>
        </w:pPr>
        <w:r>
          <w:rPr>
            <w:rStyle w:val="10"/>
            <w:rFonts w:ascii="Times" w:hAnsi="Times"/>
            <w:sz w:val="21"/>
            <w:szCs w:val="21"/>
          </w:rPr>
          <w:fldChar w:fldCharType="begin"/>
        </w:r>
        <w:r>
          <w:rPr>
            <w:rStyle w:val="10"/>
            <w:rFonts w:ascii="Times" w:hAnsi="Times"/>
            <w:sz w:val="21"/>
            <w:szCs w:val="21"/>
          </w:rPr>
          <w:instrText xml:space="preserve"> PAGE </w:instrText>
        </w:r>
        <w:r>
          <w:rPr>
            <w:rStyle w:val="10"/>
            <w:rFonts w:ascii="Times" w:hAnsi="Times"/>
            <w:sz w:val="21"/>
            <w:szCs w:val="21"/>
          </w:rPr>
          <w:fldChar w:fldCharType="separate"/>
        </w:r>
        <w:r>
          <w:rPr>
            <w:rStyle w:val="10"/>
            <w:rFonts w:ascii="Times" w:hAnsi="Times"/>
            <w:sz w:val="21"/>
            <w:szCs w:val="21"/>
          </w:rPr>
          <w:t>1</w:t>
        </w:r>
        <w:r>
          <w:rPr>
            <w:rStyle w:val="10"/>
            <w:rFonts w:ascii="Times" w:hAnsi="Times"/>
            <w:sz w:val="21"/>
            <w:szCs w:val="21"/>
          </w:rPr>
          <w:fldChar w:fldCharType="end"/>
        </w:r>
      </w:p>
    </w:sdtContent>
  </w:sdt>
  <w:p w14:paraId="2F0C22B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317735054"/>
    </w:sdtPr>
    <w:sdtEndPr>
      <w:rPr>
        <w:rStyle w:val="10"/>
      </w:rPr>
    </w:sdtEndPr>
    <w:sdtContent>
      <w:p w14:paraId="612D6249">
        <w:pPr>
          <w:pStyle w:val="3"/>
          <w:framePr w:wrap="auto"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- 3 -</w:t>
        </w:r>
        <w:r>
          <w:rPr>
            <w:rStyle w:val="10"/>
          </w:rPr>
          <w:fldChar w:fldCharType="end"/>
        </w:r>
      </w:p>
    </w:sdtContent>
  </w:sdt>
  <w:p w14:paraId="137DEE5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890413560"/>
    </w:sdtPr>
    <w:sdtEndPr>
      <w:rPr>
        <w:rStyle w:val="10"/>
      </w:rPr>
    </w:sdtEndPr>
    <w:sdtContent>
      <w:p w14:paraId="472B4934">
        <w:pPr>
          <w:pStyle w:val="3"/>
          <w:framePr w:wrap="auto" w:vAnchor="text" w:hAnchor="margin" w:xAlign="center" w:y="1"/>
          <w:rPr>
            <w:rStyle w:val="10"/>
          </w:rPr>
        </w:pPr>
        <w:r>
          <w:rPr>
            <w:rStyle w:val="10"/>
            <w:rFonts w:ascii="Times" w:hAnsi="Times"/>
            <w:sz w:val="21"/>
            <w:szCs w:val="21"/>
          </w:rPr>
          <w:fldChar w:fldCharType="begin"/>
        </w:r>
        <w:r>
          <w:rPr>
            <w:rStyle w:val="10"/>
            <w:rFonts w:ascii="Times" w:hAnsi="Times"/>
            <w:sz w:val="21"/>
            <w:szCs w:val="21"/>
          </w:rPr>
          <w:instrText xml:space="preserve"> PAGE </w:instrText>
        </w:r>
        <w:r>
          <w:rPr>
            <w:rStyle w:val="10"/>
            <w:rFonts w:ascii="Times" w:hAnsi="Times"/>
            <w:sz w:val="21"/>
            <w:szCs w:val="21"/>
          </w:rPr>
          <w:fldChar w:fldCharType="separate"/>
        </w:r>
        <w:r>
          <w:rPr>
            <w:rStyle w:val="10"/>
            <w:rFonts w:ascii="Times" w:hAnsi="Times"/>
            <w:sz w:val="21"/>
            <w:szCs w:val="21"/>
          </w:rPr>
          <w:t>- 1 -</w:t>
        </w:r>
        <w:r>
          <w:rPr>
            <w:rStyle w:val="10"/>
            <w:rFonts w:ascii="Times" w:hAnsi="Times"/>
            <w:sz w:val="21"/>
            <w:szCs w:val="21"/>
          </w:rPr>
          <w:fldChar w:fldCharType="end"/>
        </w:r>
      </w:p>
    </w:sdtContent>
  </w:sdt>
  <w:p w14:paraId="62A43C4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OWYxNTIzODM4MTBjNGM5YjkwN2Q4MDQ2NzJlYmEifQ=="/>
  </w:docVars>
  <w:rsids>
    <w:rsidRoot w:val="00735EBA"/>
    <w:rsid w:val="00005317"/>
    <w:rsid w:val="000117D7"/>
    <w:rsid w:val="00016901"/>
    <w:rsid w:val="000202FF"/>
    <w:rsid w:val="00024D7F"/>
    <w:rsid w:val="00025CBE"/>
    <w:rsid w:val="000342F8"/>
    <w:rsid w:val="00034D3F"/>
    <w:rsid w:val="000375E0"/>
    <w:rsid w:val="00056CDC"/>
    <w:rsid w:val="00057A3E"/>
    <w:rsid w:val="00067293"/>
    <w:rsid w:val="000743D3"/>
    <w:rsid w:val="000874A4"/>
    <w:rsid w:val="00096F18"/>
    <w:rsid w:val="00097A40"/>
    <w:rsid w:val="000A0B46"/>
    <w:rsid w:val="000A4FCD"/>
    <w:rsid w:val="000C4D82"/>
    <w:rsid w:val="000C667E"/>
    <w:rsid w:val="000D4CD6"/>
    <w:rsid w:val="000D7844"/>
    <w:rsid w:val="000E1034"/>
    <w:rsid w:val="000F2A2E"/>
    <w:rsid w:val="000F439E"/>
    <w:rsid w:val="000F6ECC"/>
    <w:rsid w:val="001005B6"/>
    <w:rsid w:val="00112229"/>
    <w:rsid w:val="00112B24"/>
    <w:rsid w:val="0011634C"/>
    <w:rsid w:val="00122251"/>
    <w:rsid w:val="00146C5A"/>
    <w:rsid w:val="001600BC"/>
    <w:rsid w:val="001733E8"/>
    <w:rsid w:val="00173C8D"/>
    <w:rsid w:val="00181A32"/>
    <w:rsid w:val="00182B09"/>
    <w:rsid w:val="00197B8D"/>
    <w:rsid w:val="001B15C0"/>
    <w:rsid w:val="001D6C65"/>
    <w:rsid w:val="001F4D53"/>
    <w:rsid w:val="002121EB"/>
    <w:rsid w:val="00212A26"/>
    <w:rsid w:val="00213035"/>
    <w:rsid w:val="00217EC3"/>
    <w:rsid w:val="0022328A"/>
    <w:rsid w:val="00226857"/>
    <w:rsid w:val="002308E0"/>
    <w:rsid w:val="00242AE4"/>
    <w:rsid w:val="002448B9"/>
    <w:rsid w:val="00256553"/>
    <w:rsid w:val="00263843"/>
    <w:rsid w:val="00267E28"/>
    <w:rsid w:val="00267FA2"/>
    <w:rsid w:val="00272055"/>
    <w:rsid w:val="00292108"/>
    <w:rsid w:val="002A68ED"/>
    <w:rsid w:val="002C1ADD"/>
    <w:rsid w:val="002D4CDE"/>
    <w:rsid w:val="002D68FA"/>
    <w:rsid w:val="002E5198"/>
    <w:rsid w:val="002E7B50"/>
    <w:rsid w:val="002F40FC"/>
    <w:rsid w:val="002F5AC9"/>
    <w:rsid w:val="003108E8"/>
    <w:rsid w:val="003429F0"/>
    <w:rsid w:val="003530AA"/>
    <w:rsid w:val="003572F4"/>
    <w:rsid w:val="003676B7"/>
    <w:rsid w:val="00367D9E"/>
    <w:rsid w:val="00380B9B"/>
    <w:rsid w:val="00381068"/>
    <w:rsid w:val="00396DFE"/>
    <w:rsid w:val="003B2E05"/>
    <w:rsid w:val="003B2E0C"/>
    <w:rsid w:val="003B6C4E"/>
    <w:rsid w:val="003C6DAD"/>
    <w:rsid w:val="003D3BF7"/>
    <w:rsid w:val="003E1198"/>
    <w:rsid w:val="003F294B"/>
    <w:rsid w:val="00410033"/>
    <w:rsid w:val="00422E54"/>
    <w:rsid w:val="00432086"/>
    <w:rsid w:val="00432DA2"/>
    <w:rsid w:val="00436F91"/>
    <w:rsid w:val="00455BD9"/>
    <w:rsid w:val="00455CD1"/>
    <w:rsid w:val="00460E99"/>
    <w:rsid w:val="00461D5D"/>
    <w:rsid w:val="004664A5"/>
    <w:rsid w:val="00475906"/>
    <w:rsid w:val="00481F4C"/>
    <w:rsid w:val="004911E1"/>
    <w:rsid w:val="004976C5"/>
    <w:rsid w:val="004A143D"/>
    <w:rsid w:val="004A7441"/>
    <w:rsid w:val="004C6D2E"/>
    <w:rsid w:val="004D7005"/>
    <w:rsid w:val="004F3B01"/>
    <w:rsid w:val="00516D07"/>
    <w:rsid w:val="005301A5"/>
    <w:rsid w:val="00550B46"/>
    <w:rsid w:val="00552D63"/>
    <w:rsid w:val="00554CD2"/>
    <w:rsid w:val="00556375"/>
    <w:rsid w:val="0056022E"/>
    <w:rsid w:val="005611D3"/>
    <w:rsid w:val="00566AD6"/>
    <w:rsid w:val="0058410E"/>
    <w:rsid w:val="0058643E"/>
    <w:rsid w:val="00587B80"/>
    <w:rsid w:val="005900A5"/>
    <w:rsid w:val="005916FF"/>
    <w:rsid w:val="005A10B1"/>
    <w:rsid w:val="005B1BEA"/>
    <w:rsid w:val="005B71F2"/>
    <w:rsid w:val="005B7DE9"/>
    <w:rsid w:val="005C0840"/>
    <w:rsid w:val="005E4B57"/>
    <w:rsid w:val="005E6AAD"/>
    <w:rsid w:val="00603A18"/>
    <w:rsid w:val="006203E6"/>
    <w:rsid w:val="00627630"/>
    <w:rsid w:val="00631F7C"/>
    <w:rsid w:val="0064192A"/>
    <w:rsid w:val="006465D0"/>
    <w:rsid w:val="0065381F"/>
    <w:rsid w:val="006718DB"/>
    <w:rsid w:val="00681025"/>
    <w:rsid w:val="006910E8"/>
    <w:rsid w:val="006A101B"/>
    <w:rsid w:val="006A1A82"/>
    <w:rsid w:val="006B02ED"/>
    <w:rsid w:val="006C0357"/>
    <w:rsid w:val="006D3D2C"/>
    <w:rsid w:val="006E5C02"/>
    <w:rsid w:val="006F2E61"/>
    <w:rsid w:val="006F635C"/>
    <w:rsid w:val="0070628D"/>
    <w:rsid w:val="0070727F"/>
    <w:rsid w:val="0070752B"/>
    <w:rsid w:val="00730C9E"/>
    <w:rsid w:val="007327D9"/>
    <w:rsid w:val="00732C22"/>
    <w:rsid w:val="007341FE"/>
    <w:rsid w:val="00735CF5"/>
    <w:rsid w:val="00735EBA"/>
    <w:rsid w:val="007400AA"/>
    <w:rsid w:val="00740BCA"/>
    <w:rsid w:val="00752A34"/>
    <w:rsid w:val="00756A4E"/>
    <w:rsid w:val="00781E5B"/>
    <w:rsid w:val="00792CFD"/>
    <w:rsid w:val="007A5FA9"/>
    <w:rsid w:val="007B0DD2"/>
    <w:rsid w:val="007C35D5"/>
    <w:rsid w:val="007C5529"/>
    <w:rsid w:val="007E307E"/>
    <w:rsid w:val="007E5026"/>
    <w:rsid w:val="007E5D38"/>
    <w:rsid w:val="007F1EE2"/>
    <w:rsid w:val="007F1F5D"/>
    <w:rsid w:val="007F2B16"/>
    <w:rsid w:val="007F3EB2"/>
    <w:rsid w:val="007F784E"/>
    <w:rsid w:val="0080374F"/>
    <w:rsid w:val="00825525"/>
    <w:rsid w:val="00832AE2"/>
    <w:rsid w:val="00875079"/>
    <w:rsid w:val="00881B3B"/>
    <w:rsid w:val="008900DD"/>
    <w:rsid w:val="008916D1"/>
    <w:rsid w:val="008A762F"/>
    <w:rsid w:val="008B4FF9"/>
    <w:rsid w:val="008C2275"/>
    <w:rsid w:val="008E783E"/>
    <w:rsid w:val="008F6AC0"/>
    <w:rsid w:val="00912B42"/>
    <w:rsid w:val="00930610"/>
    <w:rsid w:val="00936FAE"/>
    <w:rsid w:val="00970AFB"/>
    <w:rsid w:val="00972D42"/>
    <w:rsid w:val="00980E27"/>
    <w:rsid w:val="009A1C2B"/>
    <w:rsid w:val="009A4C96"/>
    <w:rsid w:val="009A6C60"/>
    <w:rsid w:val="009A7A6C"/>
    <w:rsid w:val="009B02D4"/>
    <w:rsid w:val="009B1EF3"/>
    <w:rsid w:val="009D6860"/>
    <w:rsid w:val="009E0C49"/>
    <w:rsid w:val="009E72FC"/>
    <w:rsid w:val="009E7C00"/>
    <w:rsid w:val="00A0711A"/>
    <w:rsid w:val="00A17075"/>
    <w:rsid w:val="00A22AC6"/>
    <w:rsid w:val="00A27905"/>
    <w:rsid w:val="00A33E2D"/>
    <w:rsid w:val="00A37F86"/>
    <w:rsid w:val="00A51657"/>
    <w:rsid w:val="00A53F1E"/>
    <w:rsid w:val="00A805E1"/>
    <w:rsid w:val="00AA1A2D"/>
    <w:rsid w:val="00AC3239"/>
    <w:rsid w:val="00AC7EB0"/>
    <w:rsid w:val="00AD61AF"/>
    <w:rsid w:val="00AE00BE"/>
    <w:rsid w:val="00AE4EE5"/>
    <w:rsid w:val="00B0543E"/>
    <w:rsid w:val="00B11643"/>
    <w:rsid w:val="00B13D0A"/>
    <w:rsid w:val="00B1443D"/>
    <w:rsid w:val="00B15D86"/>
    <w:rsid w:val="00B1727F"/>
    <w:rsid w:val="00B209FF"/>
    <w:rsid w:val="00B23C0B"/>
    <w:rsid w:val="00B30670"/>
    <w:rsid w:val="00B3257A"/>
    <w:rsid w:val="00B33818"/>
    <w:rsid w:val="00B43BB1"/>
    <w:rsid w:val="00B43F80"/>
    <w:rsid w:val="00B44B63"/>
    <w:rsid w:val="00B47050"/>
    <w:rsid w:val="00B579BC"/>
    <w:rsid w:val="00B57BF8"/>
    <w:rsid w:val="00B7076A"/>
    <w:rsid w:val="00B7147C"/>
    <w:rsid w:val="00B81B81"/>
    <w:rsid w:val="00B82CAC"/>
    <w:rsid w:val="00B92A68"/>
    <w:rsid w:val="00B9693B"/>
    <w:rsid w:val="00B97BCE"/>
    <w:rsid w:val="00BA53B3"/>
    <w:rsid w:val="00BA65C7"/>
    <w:rsid w:val="00BA71EC"/>
    <w:rsid w:val="00BC1634"/>
    <w:rsid w:val="00BC7634"/>
    <w:rsid w:val="00BD578D"/>
    <w:rsid w:val="00BE22F8"/>
    <w:rsid w:val="00BE5A96"/>
    <w:rsid w:val="00BF20EF"/>
    <w:rsid w:val="00C05759"/>
    <w:rsid w:val="00C31FF1"/>
    <w:rsid w:val="00C33A2C"/>
    <w:rsid w:val="00C33CBB"/>
    <w:rsid w:val="00C52B48"/>
    <w:rsid w:val="00C72FCD"/>
    <w:rsid w:val="00C76A1B"/>
    <w:rsid w:val="00C96097"/>
    <w:rsid w:val="00CA18B0"/>
    <w:rsid w:val="00CB3DDD"/>
    <w:rsid w:val="00CC5B90"/>
    <w:rsid w:val="00CD2790"/>
    <w:rsid w:val="00CE2256"/>
    <w:rsid w:val="00CF15FE"/>
    <w:rsid w:val="00CF551D"/>
    <w:rsid w:val="00D03890"/>
    <w:rsid w:val="00D047C5"/>
    <w:rsid w:val="00D04897"/>
    <w:rsid w:val="00D07931"/>
    <w:rsid w:val="00D13270"/>
    <w:rsid w:val="00D26DB5"/>
    <w:rsid w:val="00D4092C"/>
    <w:rsid w:val="00D5284B"/>
    <w:rsid w:val="00D60E10"/>
    <w:rsid w:val="00D66F56"/>
    <w:rsid w:val="00D7273F"/>
    <w:rsid w:val="00D92337"/>
    <w:rsid w:val="00DB3549"/>
    <w:rsid w:val="00DB7837"/>
    <w:rsid w:val="00DD7A76"/>
    <w:rsid w:val="00DE7B7F"/>
    <w:rsid w:val="00DE7F5A"/>
    <w:rsid w:val="00E00E78"/>
    <w:rsid w:val="00E231B8"/>
    <w:rsid w:val="00E2470F"/>
    <w:rsid w:val="00E3026B"/>
    <w:rsid w:val="00E34EAE"/>
    <w:rsid w:val="00E40BD5"/>
    <w:rsid w:val="00E4255C"/>
    <w:rsid w:val="00E456F8"/>
    <w:rsid w:val="00E576B4"/>
    <w:rsid w:val="00E65DAB"/>
    <w:rsid w:val="00E668D4"/>
    <w:rsid w:val="00E73669"/>
    <w:rsid w:val="00E95930"/>
    <w:rsid w:val="00EB2A9D"/>
    <w:rsid w:val="00EC089F"/>
    <w:rsid w:val="00EC278E"/>
    <w:rsid w:val="00ED0B7C"/>
    <w:rsid w:val="00EF0D45"/>
    <w:rsid w:val="00EF5FBB"/>
    <w:rsid w:val="00F07376"/>
    <w:rsid w:val="00F15FD4"/>
    <w:rsid w:val="00F17956"/>
    <w:rsid w:val="00F23A97"/>
    <w:rsid w:val="00F44EBE"/>
    <w:rsid w:val="00F46DF1"/>
    <w:rsid w:val="00F47DD0"/>
    <w:rsid w:val="00F51FCA"/>
    <w:rsid w:val="00F83D35"/>
    <w:rsid w:val="00F86BFD"/>
    <w:rsid w:val="00FA6D3B"/>
    <w:rsid w:val="00FA7E07"/>
    <w:rsid w:val="00FB5444"/>
    <w:rsid w:val="00FD44F9"/>
    <w:rsid w:val="018E55BD"/>
    <w:rsid w:val="01A64793"/>
    <w:rsid w:val="01C2237F"/>
    <w:rsid w:val="01DC2CA1"/>
    <w:rsid w:val="028467E8"/>
    <w:rsid w:val="031E2DA8"/>
    <w:rsid w:val="0395605F"/>
    <w:rsid w:val="03C508B4"/>
    <w:rsid w:val="04360100"/>
    <w:rsid w:val="057C6810"/>
    <w:rsid w:val="07D611C8"/>
    <w:rsid w:val="089B50D1"/>
    <w:rsid w:val="08EA12F1"/>
    <w:rsid w:val="0A197F04"/>
    <w:rsid w:val="0ACD532B"/>
    <w:rsid w:val="0B762EE8"/>
    <w:rsid w:val="0D541D78"/>
    <w:rsid w:val="0D7C7DF7"/>
    <w:rsid w:val="0FE96053"/>
    <w:rsid w:val="10335524"/>
    <w:rsid w:val="14557521"/>
    <w:rsid w:val="147A2124"/>
    <w:rsid w:val="148819CF"/>
    <w:rsid w:val="151274B5"/>
    <w:rsid w:val="158310E5"/>
    <w:rsid w:val="15D0764A"/>
    <w:rsid w:val="16EB1275"/>
    <w:rsid w:val="171D146F"/>
    <w:rsid w:val="181E0CD4"/>
    <w:rsid w:val="18737C4E"/>
    <w:rsid w:val="18E54239"/>
    <w:rsid w:val="19B84C27"/>
    <w:rsid w:val="1A8049D2"/>
    <w:rsid w:val="1B503B2C"/>
    <w:rsid w:val="1C9976D5"/>
    <w:rsid w:val="1E420733"/>
    <w:rsid w:val="1E7747BD"/>
    <w:rsid w:val="1F092649"/>
    <w:rsid w:val="1FAE5E79"/>
    <w:rsid w:val="20351229"/>
    <w:rsid w:val="209B2240"/>
    <w:rsid w:val="231A0405"/>
    <w:rsid w:val="23946235"/>
    <w:rsid w:val="25623C71"/>
    <w:rsid w:val="27A6771E"/>
    <w:rsid w:val="283B5A10"/>
    <w:rsid w:val="2AF15D80"/>
    <w:rsid w:val="2AFB5086"/>
    <w:rsid w:val="2B471220"/>
    <w:rsid w:val="2BB9781F"/>
    <w:rsid w:val="2DF102E2"/>
    <w:rsid w:val="2EBC3093"/>
    <w:rsid w:val="2FA70592"/>
    <w:rsid w:val="31764E11"/>
    <w:rsid w:val="327521DB"/>
    <w:rsid w:val="328F70F4"/>
    <w:rsid w:val="32BF6496"/>
    <w:rsid w:val="32E515EC"/>
    <w:rsid w:val="34623F6C"/>
    <w:rsid w:val="35463EB1"/>
    <w:rsid w:val="365A79C0"/>
    <w:rsid w:val="366B65A1"/>
    <w:rsid w:val="3C5566BE"/>
    <w:rsid w:val="3D1F1A66"/>
    <w:rsid w:val="3D84388B"/>
    <w:rsid w:val="3E8420C7"/>
    <w:rsid w:val="3EE04CBF"/>
    <w:rsid w:val="3F386DDE"/>
    <w:rsid w:val="3F5B5BB0"/>
    <w:rsid w:val="44E7644C"/>
    <w:rsid w:val="455D240A"/>
    <w:rsid w:val="45C62D6F"/>
    <w:rsid w:val="460D0ACD"/>
    <w:rsid w:val="463B18A2"/>
    <w:rsid w:val="46FC0331"/>
    <w:rsid w:val="47210AB6"/>
    <w:rsid w:val="4870659C"/>
    <w:rsid w:val="4A4E785B"/>
    <w:rsid w:val="4B0D6AB5"/>
    <w:rsid w:val="4C500E08"/>
    <w:rsid w:val="4D24421C"/>
    <w:rsid w:val="509D60EB"/>
    <w:rsid w:val="50B165D4"/>
    <w:rsid w:val="51AD17C9"/>
    <w:rsid w:val="52050503"/>
    <w:rsid w:val="522466D8"/>
    <w:rsid w:val="5260361D"/>
    <w:rsid w:val="52DA0F7E"/>
    <w:rsid w:val="52EB3511"/>
    <w:rsid w:val="53235378"/>
    <w:rsid w:val="53E33BE1"/>
    <w:rsid w:val="551C05EC"/>
    <w:rsid w:val="551D4B7A"/>
    <w:rsid w:val="57786473"/>
    <w:rsid w:val="592A53E8"/>
    <w:rsid w:val="59AB1E02"/>
    <w:rsid w:val="59B0301E"/>
    <w:rsid w:val="59DF6996"/>
    <w:rsid w:val="5B145F6F"/>
    <w:rsid w:val="5C3533A2"/>
    <w:rsid w:val="5D9038C3"/>
    <w:rsid w:val="5E2B76EA"/>
    <w:rsid w:val="5E65717B"/>
    <w:rsid w:val="5E872F6E"/>
    <w:rsid w:val="5F4C1B05"/>
    <w:rsid w:val="605D0560"/>
    <w:rsid w:val="6112536A"/>
    <w:rsid w:val="62273D1D"/>
    <w:rsid w:val="624C3869"/>
    <w:rsid w:val="628761C5"/>
    <w:rsid w:val="62A907DF"/>
    <w:rsid w:val="642540C6"/>
    <w:rsid w:val="64DB3B58"/>
    <w:rsid w:val="651973E5"/>
    <w:rsid w:val="664F79DD"/>
    <w:rsid w:val="667B21EE"/>
    <w:rsid w:val="67240691"/>
    <w:rsid w:val="68AB304F"/>
    <w:rsid w:val="6A31793E"/>
    <w:rsid w:val="6B893E43"/>
    <w:rsid w:val="6BC718DE"/>
    <w:rsid w:val="6C42599A"/>
    <w:rsid w:val="6C95259F"/>
    <w:rsid w:val="6D1F7AE3"/>
    <w:rsid w:val="6D615744"/>
    <w:rsid w:val="6DC61C54"/>
    <w:rsid w:val="6DEB158E"/>
    <w:rsid w:val="6F407529"/>
    <w:rsid w:val="70522DA5"/>
    <w:rsid w:val="71293926"/>
    <w:rsid w:val="72D37256"/>
    <w:rsid w:val="733B69BC"/>
    <w:rsid w:val="73F932E9"/>
    <w:rsid w:val="75A81050"/>
    <w:rsid w:val="75AF3FFE"/>
    <w:rsid w:val="761846E4"/>
    <w:rsid w:val="765B46BE"/>
    <w:rsid w:val="769E7B7B"/>
    <w:rsid w:val="76D441C8"/>
    <w:rsid w:val="76E97A97"/>
    <w:rsid w:val="771F7834"/>
    <w:rsid w:val="77FB10C6"/>
    <w:rsid w:val="786E0344"/>
    <w:rsid w:val="7A233167"/>
    <w:rsid w:val="7AC329AD"/>
    <w:rsid w:val="7C326526"/>
    <w:rsid w:val="7C7C5A07"/>
    <w:rsid w:val="7CA02D17"/>
    <w:rsid w:val="FF3EF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widowControl w:val="0"/>
    </w:pPr>
    <w:rPr>
      <w:rFonts w:asciiTheme="minorHAnsi" w:hAnsiTheme="minorHAnsi" w:eastAsiaTheme="minorEastAsia" w:cstheme="minorBidi"/>
      <w:kern w:val="2"/>
      <w:sz w:val="21"/>
    </w:rPr>
  </w:style>
  <w:style w:type="paragraph" w:styleId="3">
    <w:name w:val="footer"/>
    <w:basedOn w:val="1"/>
    <w:link w:val="13"/>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12"/>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5">
    <w:name w:val="Normal (Web)"/>
    <w:basedOn w:val="1"/>
    <w:unhideWhenUsed/>
    <w:qFormat/>
    <w:uiPriority w:val="99"/>
    <w:pPr>
      <w:spacing w:before="100" w:beforeAutospacing="1" w:after="100" w:afterAutospacing="1"/>
    </w:p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批注文字 字符"/>
    <w:basedOn w:val="9"/>
    <w:link w:val="2"/>
    <w:semiHidden/>
    <w:qFormat/>
    <w:uiPriority w:val="99"/>
    <w:rPr>
      <w:kern w:val="2"/>
      <w:sz w:val="21"/>
      <w:szCs w:val="24"/>
    </w:rPr>
  </w:style>
  <w:style w:type="character" w:customStyle="1" w:styleId="15">
    <w:name w:val="批注主题 字符"/>
    <w:basedOn w:val="14"/>
    <w:link w:val="6"/>
    <w:semiHidden/>
    <w:qFormat/>
    <w:uiPriority w:val="99"/>
    <w:rPr>
      <w:b/>
      <w:bCs/>
      <w:kern w:val="2"/>
      <w:sz w:val="21"/>
      <w:szCs w:val="24"/>
    </w:rPr>
  </w:style>
  <w:style w:type="paragraph" w:customStyle="1" w:styleId="16">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7">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8">
    <w:name w:val="修订3"/>
    <w:hidden/>
    <w:semiHidden/>
    <w:qFormat/>
    <w:uiPriority w:val="99"/>
    <w:rPr>
      <w:rFonts w:ascii="宋体" w:hAnsi="宋体" w:eastAsia="宋体" w:cs="宋体"/>
      <w:sz w:val="24"/>
      <w:szCs w:val="24"/>
      <w:lang w:val="en-US" w:eastAsia="zh-CN" w:bidi="ar-SA"/>
    </w:rPr>
  </w:style>
  <w:style w:type="character" w:customStyle="1" w:styleId="19">
    <w:name w:val="font31"/>
    <w:basedOn w:val="9"/>
    <w:qFormat/>
    <w:uiPriority w:val="0"/>
    <w:rPr>
      <w:rFonts w:ascii="方正小标宋_GBK" w:hAnsi="方正小标宋_GBK" w:eastAsia="方正小标宋_GBK" w:cs="方正小标宋_GBK"/>
      <w:color w:val="000000"/>
      <w:sz w:val="36"/>
      <w:szCs w:val="36"/>
      <w:u w:val="none"/>
    </w:rPr>
  </w:style>
  <w:style w:type="character" w:customStyle="1" w:styleId="20">
    <w:name w:val="font71"/>
    <w:basedOn w:val="9"/>
    <w:qFormat/>
    <w:uiPriority w:val="0"/>
    <w:rPr>
      <w:rFonts w:hint="default" w:ascii="Times New Roman" w:hAnsi="Times New Roman" w:cs="Times New Roman"/>
      <w:color w:val="000000"/>
      <w:sz w:val="36"/>
      <w:szCs w:val="36"/>
      <w:u w:val="none"/>
    </w:rPr>
  </w:style>
  <w:style w:type="character" w:customStyle="1" w:styleId="21">
    <w:name w:val="font21"/>
    <w:basedOn w:val="9"/>
    <w:qFormat/>
    <w:uiPriority w:val="0"/>
    <w:rPr>
      <w:rFonts w:ascii="黑体" w:hAnsi="宋体" w:eastAsia="黑体" w:cs="黑体"/>
      <w:color w:val="000000"/>
      <w:sz w:val="24"/>
      <w:szCs w:val="24"/>
      <w:u w:val="none"/>
    </w:rPr>
  </w:style>
  <w:style w:type="character" w:customStyle="1" w:styleId="22">
    <w:name w:val="font11"/>
    <w:basedOn w:val="9"/>
    <w:qFormat/>
    <w:uiPriority w:val="0"/>
    <w:rPr>
      <w:rFonts w:ascii="方正仿宋_GBK" w:hAnsi="方正仿宋_GBK" w:eastAsia="方正仿宋_GBK" w:cs="方正仿宋_GBK"/>
      <w:color w:val="000000"/>
      <w:sz w:val="22"/>
      <w:szCs w:val="22"/>
      <w:u w:val="none"/>
    </w:rPr>
  </w:style>
  <w:style w:type="character" w:customStyle="1" w:styleId="23">
    <w:name w:val="font01"/>
    <w:basedOn w:val="9"/>
    <w:qFormat/>
    <w:uiPriority w:val="0"/>
    <w:rPr>
      <w:rFonts w:hint="eastAsia" w:ascii="方正仿宋_GBK" w:hAnsi="方正仿宋_GBK" w:eastAsia="方正仿宋_GBK" w:cs="方正仿宋_GBK"/>
      <w:color w:val="000000"/>
      <w:sz w:val="22"/>
      <w:szCs w:val="22"/>
      <w:u w:val="none"/>
    </w:rPr>
  </w:style>
  <w:style w:type="character" w:customStyle="1" w:styleId="24">
    <w:name w:val="font6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26CD8-5645-8041-82AD-93381200018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2358</Words>
  <Characters>2383</Characters>
  <Lines>447</Lines>
  <Paragraphs>125</Paragraphs>
  <TotalTime>2</TotalTime>
  <ScaleCrop>false</ScaleCrop>
  <LinksUpToDate>false</LinksUpToDate>
  <CharactersWithSpaces>2390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2023-04-19T17:27:00Z</dcterms:created>
  <dc:creator>candy198883@126.com</dc:creator>
  <cp:lastModifiedBy>SPRING</cp:lastModifiedBy>
  <cp:lastPrinted>2024-10-31T04:59:00Z</cp:lastPrinted>
  <dcterms:modified xsi:type="dcterms:W3CDTF">2025-12-11T02:17:34Z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E26483B57F134154B1F1D6FC04B7D131_13</vt:lpwstr>
  </property>
  <property fmtid="{D5CDD505-2E9C-101B-9397-08002B2CF9AE}" pid="4" name="KSOTemplateDocerSaveRecord">
    <vt:lpwstr>eyJoZGlkIjoiMzMxZGUxZGI3NDYwYjZhMTEyYmE2YjAyNWRmZmRjNDAiLCJ1c2VySWQiOiIyNDA5ODg4NTkifQ==</vt:lpwstr>
  </property>
</Properties>
</file>