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D7B73">
      <w:pPr>
        <w:widowControl/>
        <w:spacing w:line="540" w:lineRule="exact"/>
        <w:jc w:val="both"/>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lang w:eastAsia="zh-CN"/>
        </w:rPr>
        <w:t>附件2</w:t>
      </w:r>
    </w:p>
    <w:p w14:paraId="5709CF69">
      <w:pPr>
        <w:spacing w:line="540" w:lineRule="exact"/>
        <w:rPr>
          <w:rFonts w:ascii="Times New Roman" w:hAnsi="Times New Roman" w:eastAsia="方正仿宋_GBK" w:cs="Times New Roman"/>
          <w:sz w:val="32"/>
          <w:szCs w:val="32"/>
        </w:rPr>
      </w:pPr>
    </w:p>
    <w:p w14:paraId="75A5A8BD">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关于《南京市失信惩戒措施补充清单</w:t>
      </w:r>
    </w:p>
    <w:p w14:paraId="6F47632D">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ascii="Times New Roman" w:hAnsi="Times New Roman" w:eastAsia="方正小标宋_GBK" w:cs="Times New Roman"/>
          <w:sz w:val="44"/>
          <w:szCs w:val="44"/>
        </w:rPr>
        <w:t>年版)》的说明</w:t>
      </w:r>
    </w:p>
    <w:p w14:paraId="20B4B3C1">
      <w:pPr>
        <w:spacing w:line="580" w:lineRule="exact"/>
        <w:ind w:firstLine="640" w:firstLineChars="200"/>
        <w:jc w:val="left"/>
        <w:rPr>
          <w:rFonts w:ascii="Times New Roman" w:hAnsi="Times New Roman" w:eastAsia="方正仿宋_GBK" w:cs="Times New Roman"/>
          <w:sz w:val="32"/>
          <w:szCs w:val="32"/>
        </w:rPr>
      </w:pPr>
    </w:p>
    <w:p w14:paraId="4F60B713">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贯彻落实党中央、国务院、省委、省政府和市委、市政府关于推进社会信用体系建设高质量发展的决策部署，按照《中华人民共和国国民经济和社会发展第十四个五年规划和2035年远景目标纲要》《中共中央办公厅 国务院办公厅印发&lt;关于推进社会信用体系高质量发展促进形成新发展格局的意见&gt;的通知》《国务院办公厅关于进一步完善失信约束制度构建诚信建设长效机制的指导意见》《江苏省社会信用条例》和《南京市社会信用条例》要求，进一步规范失信惩戒措施，保护信用主体合法权益，在《全国失信惩戒措施基础清单(2025年版)》《江苏省失信惩戒措施补充清单（2025年版）》的基础上，严格以市地方性法规为依据，编制本清单。</w:t>
      </w:r>
    </w:p>
    <w:p w14:paraId="4C5C2413">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一、本清单所称的失信惩戒，是指国家机关和法律、法规授权的具有管理公共事务职能的组织（以下统称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公共管理机构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）以及其他组织依法依规运用司法、行政、市场等手段对失信行为责任主体进行惩戒的活动。</w:t>
      </w:r>
    </w:p>
    <w:p w14:paraId="05E0D462">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清单旨在规范界定失信惩戒措施的种类及其适用对象。除法律、法规或者党中央、国务院政策文件另有规定外，公共管理机构不得超出全国失信惩戒措施基础清单、江苏省失信惩戒措施补充清单和本清单所列范围采取对相关主体减损权益或增加义务的失信惩戒措施。公共管理机构以外的组织自主开展失信惩戒的，不得违反相关法律、法规的规定。</w:t>
      </w:r>
    </w:p>
    <w:p w14:paraId="1D406129">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三、本清单无新增失信惩戒措施。为更好落实全国失信惩戒措施基础清单和江苏省失信惩戒措施补充清单，本清单梳理了全国清单和省补充清单中我市有地方性法规对应依据的失信惩戒措施7项，包括</w:t>
      </w:r>
      <w:r>
        <w:rPr>
          <w:rFonts w:hint="eastAsia" w:ascii="Times New Roman" w:hAnsi="Times New Roman" w:eastAsia="方正仿宋_GBK" w:cs="Times New Roman"/>
          <w:sz w:val="32"/>
          <w:szCs w:val="32"/>
        </w:rPr>
        <w:t>依法依规实施市场或行业禁入、</w:t>
      </w:r>
      <w:r>
        <w:rPr>
          <w:rFonts w:ascii="Times New Roman" w:hAnsi="Times New Roman" w:eastAsia="方正仿宋_GBK" w:cs="Times New Roman"/>
          <w:sz w:val="32"/>
          <w:szCs w:val="32"/>
        </w:rPr>
        <w:t>依规限制申请财政性资金项目、依法依规限制享受优惠政策和便利措施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依法依规限制参加评先评优、依法依规限制公共资源交易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取消财政资金补助、项目支持</w:t>
      </w:r>
      <w:r>
        <w:rPr>
          <w:rFonts w:hint="eastAsia" w:ascii="Times New Roman" w:hAnsi="Times New Roman" w:eastAsia="方正仿宋_GBK" w:cs="Times New Roman"/>
          <w:sz w:val="32"/>
          <w:szCs w:val="32"/>
        </w:rPr>
        <w:t>、撤销相关荣誉</w:t>
      </w:r>
      <w:r>
        <w:rPr>
          <w:rFonts w:ascii="Times New Roman" w:hAnsi="Times New Roman" w:eastAsia="方正仿宋_GBK" w:cs="Times New Roman"/>
          <w:sz w:val="32"/>
          <w:szCs w:val="32"/>
        </w:rPr>
        <w:t xml:space="preserve">。 </w:t>
      </w:r>
    </w:p>
    <w:p w14:paraId="49DC2627">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ascii="Times New Roman" w:hAnsi="Times New Roman" w:eastAsia="方正仿宋_GBK" w:cs="Times New Roman"/>
          <w:sz w:val="32"/>
          <w:szCs w:val="32"/>
          <w:lang w:bidi="ar"/>
        </w:rPr>
        <w:t>各区、各有关部门（单位）应当遵照合法、关联、比例原则，严格依法依规实施清单内的失信惩戒措施。任何部门（单位）不得以现行规定对失信行为惩戒力度不足为由，在法律、法规或者党中央、国务院政策文件规定外增设惩戒措施，不得擅自扩大清单内惩戒对象范围，不得在法定惩戒标准上加重惩戒，确保失信惩戒在法治轨道内运行，切实保护信用主体合法权益。</w:t>
      </w:r>
    </w:p>
    <w:p w14:paraId="1DB09238">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五、法律、法规或者党中央、国务院政策文件对失信惩戒措施作出新的规定的，从其规定。</w:t>
      </w:r>
    </w:p>
    <w:p w14:paraId="19E61EFA">
      <w:pPr>
        <w:spacing w:line="580" w:lineRule="exact"/>
        <w:ind w:firstLine="640" w:firstLineChars="200"/>
        <w:rPr>
          <w:rFonts w:ascii="Times New Roman" w:hAnsi="Times New Roman" w:eastAsia="仿宋" w:cs="Times New Roman"/>
          <w:sz w:val="28"/>
          <w:szCs w:val="28"/>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方正仿宋_GBK" w:cs="Times New Roman"/>
          <w:sz w:val="32"/>
          <w:szCs w:val="32"/>
        </w:rPr>
        <w:t>六、本清单自</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2026</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日起施行，有效期至</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2027</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31</w:t>
      </w:r>
      <w:r>
        <w:rPr>
          <w:rFonts w:ascii="Times New Roman" w:hAnsi="Times New Roman" w:eastAsia="方正仿宋_GBK" w:cs="Times New Roman"/>
          <w:color w:val="000000" w:themeColor="text1"/>
          <w:sz w:val="32"/>
          <w:szCs w:val="32"/>
          <w14:textFill>
            <w14:solidFill>
              <w14:schemeClr w14:val="tx1"/>
            </w14:solidFill>
          </w14:textFill>
        </w:rPr>
        <w:t>日</w:t>
      </w:r>
      <w:r>
        <w:rPr>
          <w:rFonts w:ascii="Times New Roman" w:hAnsi="Times New Roman" w:eastAsia="方正仿宋_GBK" w:cs="Times New Roman"/>
          <w:sz w:val="32"/>
          <w:szCs w:val="32"/>
        </w:rPr>
        <w:t>。</w:t>
      </w:r>
    </w:p>
    <w:p w14:paraId="2C3F0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32"/>
          <w:szCs w:val="32"/>
        </w:rPr>
        <w:t>南京市</w:t>
      </w:r>
      <w:r>
        <w:rPr>
          <w:rFonts w:ascii="Times New Roman" w:hAnsi="Times New Roman" w:eastAsia="方正小标宋_GBK" w:cs="Times New Roman"/>
          <w:kern w:val="0"/>
          <w:sz w:val="32"/>
          <w:szCs w:val="32"/>
        </w:rPr>
        <w:t>失信惩戒措施</w:t>
      </w:r>
      <w:r>
        <w:rPr>
          <w:rFonts w:hint="eastAsia" w:ascii="Times New Roman" w:hAnsi="Times New Roman" w:eastAsia="方正小标宋_GBK" w:cs="Times New Roman"/>
          <w:kern w:val="0"/>
          <w:sz w:val="32"/>
          <w:szCs w:val="32"/>
        </w:rPr>
        <w:t>补充清单（2</w:t>
      </w:r>
      <w:r>
        <w:rPr>
          <w:rFonts w:ascii="Times New Roman" w:hAnsi="Times New Roman" w:eastAsia="方正小标宋_GBK" w:cs="Times New Roman"/>
          <w:kern w:val="0"/>
          <w:sz w:val="32"/>
          <w:szCs w:val="32"/>
        </w:rPr>
        <w:t>02</w:t>
      </w:r>
      <w:r>
        <w:rPr>
          <w:rFonts w:hint="eastAsia" w:ascii="Times New Roman" w:hAnsi="Times New Roman" w:eastAsia="方正小标宋_GBK" w:cs="Times New Roman"/>
          <w:kern w:val="0"/>
          <w:sz w:val="32"/>
          <w:szCs w:val="32"/>
          <w:lang w:val="en-US" w:eastAsia="zh-CN"/>
        </w:rPr>
        <w:t>6</w:t>
      </w:r>
      <w:r>
        <w:rPr>
          <w:rFonts w:hint="eastAsia" w:ascii="Times New Roman" w:hAnsi="Times New Roman" w:eastAsia="方正小标宋_GBK" w:cs="Times New Roman"/>
          <w:kern w:val="0"/>
          <w:sz w:val="32"/>
          <w:szCs w:val="32"/>
        </w:rPr>
        <w:t>年版）</w:t>
      </w:r>
    </w:p>
    <w:tbl>
      <w:tblPr>
        <w:tblStyle w:val="7"/>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381"/>
        <w:gridCol w:w="2534"/>
        <w:gridCol w:w="3969"/>
        <w:gridCol w:w="2977"/>
        <w:gridCol w:w="1701"/>
      </w:tblGrid>
      <w:tr w14:paraId="0260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Align w:val="center"/>
          </w:tcPr>
          <w:p w14:paraId="2C51A80C">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序号</w:t>
            </w:r>
          </w:p>
        </w:tc>
        <w:tc>
          <w:tcPr>
            <w:tcW w:w="1381" w:type="dxa"/>
            <w:vAlign w:val="center"/>
          </w:tcPr>
          <w:p w14:paraId="53A8A4E8">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惩戒措施</w:t>
            </w:r>
          </w:p>
        </w:tc>
        <w:tc>
          <w:tcPr>
            <w:tcW w:w="2534" w:type="dxa"/>
            <w:vAlign w:val="center"/>
          </w:tcPr>
          <w:p w14:paraId="07CB3C3D">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惩戒内容</w:t>
            </w:r>
          </w:p>
        </w:tc>
        <w:tc>
          <w:tcPr>
            <w:tcW w:w="3969" w:type="dxa"/>
            <w:vAlign w:val="center"/>
          </w:tcPr>
          <w:p w14:paraId="1AD2AF7A">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惩戒对象</w:t>
            </w:r>
          </w:p>
        </w:tc>
        <w:tc>
          <w:tcPr>
            <w:tcW w:w="2977" w:type="dxa"/>
            <w:vAlign w:val="center"/>
          </w:tcPr>
          <w:p w14:paraId="1FA2A175">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法规政策依据</w:t>
            </w:r>
          </w:p>
        </w:tc>
        <w:tc>
          <w:tcPr>
            <w:tcW w:w="1701" w:type="dxa"/>
            <w:vAlign w:val="center"/>
          </w:tcPr>
          <w:p w14:paraId="3D18B994">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实施主体</w:t>
            </w:r>
          </w:p>
        </w:tc>
      </w:tr>
      <w:tr w14:paraId="39D5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320" w:type="dxa"/>
            <w:gridSpan w:val="6"/>
            <w:vAlign w:val="center"/>
          </w:tcPr>
          <w:p w14:paraId="2D707233">
            <w:pPr>
              <w:pStyle w:val="5"/>
              <w:adjustRightInd w:val="0"/>
              <w:snapToGrid w:val="0"/>
              <w:rPr>
                <w:rFonts w:ascii="Times New Roman" w:hAnsi="Times New Roman" w:eastAsia="方正楷体_GBK" w:cs="Times New Roman"/>
                <w:color w:val="000000" w:themeColor="text1"/>
                <w:sz w:val="21"/>
                <w:szCs w:val="21"/>
                <w14:textFill>
                  <w14:solidFill>
                    <w14:schemeClr w14:val="tx1"/>
                  </w14:solidFill>
                </w14:textFill>
              </w:rPr>
            </w:pPr>
            <w:r>
              <w:rPr>
                <w:rFonts w:ascii="Times New Roman" w:hAnsi="Times New Roman" w:eastAsia="方正楷体_GBK" w:cs="Times New Roman"/>
                <w:color w:val="000000" w:themeColor="text1"/>
                <w:sz w:val="21"/>
                <w:szCs w:val="21"/>
                <w14:textFill>
                  <w14:solidFill>
                    <w14:schemeClr w14:val="tx1"/>
                  </w14:solidFill>
                </w14:textFill>
              </w:rPr>
              <w:t>一、全国失信惩戒措施基础清单</w:t>
            </w:r>
          </w:p>
        </w:tc>
      </w:tr>
      <w:tr w14:paraId="343D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2228C41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w:t>
            </w:r>
          </w:p>
        </w:tc>
        <w:tc>
          <w:tcPr>
            <w:tcW w:w="1381" w:type="dxa"/>
            <w:vMerge w:val="restart"/>
            <w:vAlign w:val="center"/>
          </w:tcPr>
          <w:p w14:paraId="10F75DF5">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依法依规实施市场或行业禁入（退出）</w:t>
            </w:r>
          </w:p>
        </w:tc>
        <w:tc>
          <w:tcPr>
            <w:tcW w:w="2534" w:type="dxa"/>
            <w:vAlign w:val="center"/>
          </w:tcPr>
          <w:p w14:paraId="7CDC2AE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限制行业进入</w:t>
            </w:r>
          </w:p>
        </w:tc>
        <w:tc>
          <w:tcPr>
            <w:tcW w:w="3969" w:type="dxa"/>
            <w:vAlign w:val="center"/>
          </w:tcPr>
          <w:p w14:paraId="2568161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严重失信的养老服务组织</w:t>
            </w:r>
          </w:p>
        </w:tc>
        <w:tc>
          <w:tcPr>
            <w:tcW w:w="2977" w:type="dxa"/>
            <w:vAlign w:val="center"/>
          </w:tcPr>
          <w:p w14:paraId="09179DE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《南京市养老服务条例》</w:t>
            </w:r>
            <w:r>
              <w:rPr>
                <w:rFonts w:hint="eastAsia" w:ascii="Times New Roman" w:hAnsi="Times New Roman" w:eastAsia="方正仿宋_GBK" w:cs="Times New Roman"/>
                <w:color w:val="000000" w:themeColor="text1"/>
                <w:szCs w:val="21"/>
                <w14:textFill>
                  <w14:solidFill>
                    <w14:schemeClr w14:val="tx1"/>
                  </w14:solidFill>
                </w14:textFill>
              </w:rPr>
              <w:t>第六十六条</w:t>
            </w:r>
          </w:p>
        </w:tc>
        <w:tc>
          <w:tcPr>
            <w:tcW w:w="1701" w:type="dxa"/>
            <w:vAlign w:val="center"/>
          </w:tcPr>
          <w:p w14:paraId="6A10EB0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民政部门</w:t>
            </w:r>
          </w:p>
        </w:tc>
      </w:tr>
      <w:tr w14:paraId="1243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vAlign w:val="center"/>
          </w:tcPr>
          <w:p w14:paraId="0F685A4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315B97D4">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21DC718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责令停止相应执业活动</w:t>
            </w:r>
          </w:p>
        </w:tc>
        <w:tc>
          <w:tcPr>
            <w:tcW w:w="3969" w:type="dxa"/>
            <w:vAlign w:val="center"/>
          </w:tcPr>
          <w:p w14:paraId="20FC869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未履行献血者信息保密义务，造成信息泄露的</w:t>
            </w:r>
            <w:r>
              <w:rPr>
                <w:rFonts w:hint="eastAsia" w:ascii="Times New Roman" w:hAnsi="Times New Roman" w:eastAsia="方正仿宋_GBK" w:cs="Times New Roman"/>
                <w:color w:val="000000" w:themeColor="text1"/>
                <w:szCs w:val="21"/>
                <w14:textFill>
                  <w14:solidFill>
                    <w14:schemeClr w14:val="tx1"/>
                  </w14:solidFill>
                </w14:textFill>
              </w:rPr>
              <w:t>，情节严重的</w:t>
            </w:r>
            <w:r>
              <w:rPr>
                <w:rFonts w:ascii="Times New Roman" w:hAnsi="Times New Roman" w:eastAsia="方正仿宋_GBK" w:cs="Times New Roman"/>
                <w:color w:val="000000" w:themeColor="text1"/>
                <w:szCs w:val="21"/>
                <w14:textFill>
                  <w14:solidFill>
                    <w14:schemeClr w14:val="tx1"/>
                  </w14:solidFill>
                </w14:textFill>
              </w:rPr>
              <w:t>血站、医疗机构</w:t>
            </w:r>
          </w:p>
        </w:tc>
        <w:tc>
          <w:tcPr>
            <w:tcW w:w="2977" w:type="dxa"/>
            <w:vAlign w:val="center"/>
          </w:tcPr>
          <w:p w14:paraId="0418EE6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南京市献血条例</w:t>
            </w:r>
            <w:r>
              <w:rPr>
                <w:rFonts w:hint="eastAsia" w:ascii="Times New Roman" w:hAnsi="Times New Roman" w:eastAsia="方正仿宋_GBK" w:cs="Times New Roman"/>
                <w:color w:val="000000" w:themeColor="text1"/>
                <w:szCs w:val="21"/>
                <w14:textFill>
                  <w14:solidFill>
                    <w14:schemeClr w14:val="tx1"/>
                  </w14:solidFill>
                </w14:textFill>
              </w:rPr>
              <w:t>》第三十五条</w:t>
            </w:r>
          </w:p>
        </w:tc>
        <w:tc>
          <w:tcPr>
            <w:tcW w:w="1701" w:type="dxa"/>
            <w:vAlign w:val="center"/>
          </w:tcPr>
          <w:p w14:paraId="4B7D858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卫生健康部门</w:t>
            </w:r>
          </w:p>
        </w:tc>
      </w:tr>
      <w:tr w14:paraId="01D1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655A5A18">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563F2801">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4FEE8DA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吊销其建筑垃圾处置核准</w:t>
            </w:r>
          </w:p>
        </w:tc>
        <w:tc>
          <w:tcPr>
            <w:tcW w:w="3969" w:type="dxa"/>
            <w:vAlign w:val="center"/>
          </w:tcPr>
          <w:p w14:paraId="0DBDDB2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有《</w:t>
            </w:r>
            <w:r>
              <w:rPr>
                <w:rFonts w:ascii="Times New Roman" w:hAnsi="Times New Roman" w:eastAsia="方正仿宋_GBK" w:cs="Times New Roman"/>
                <w:color w:val="000000" w:themeColor="text1"/>
                <w:szCs w:val="21"/>
                <w14:textFill>
                  <w14:solidFill>
                    <w14:schemeClr w14:val="tx1"/>
                  </w14:solidFill>
                </w14:textFill>
              </w:rPr>
              <w:t>南京市城市治理条例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第二十九条</w:t>
            </w:r>
            <w:r>
              <w:rPr>
                <w:rFonts w:hint="eastAsia" w:ascii="Times New Roman" w:hAnsi="Times New Roman" w:eastAsia="方正仿宋_GBK" w:cs="Times New Roman"/>
                <w:color w:val="000000" w:themeColor="text1"/>
                <w:szCs w:val="21"/>
                <w14:textFill>
                  <w14:solidFill>
                    <w14:schemeClr w14:val="tx1"/>
                  </w14:solidFill>
                </w14:textFill>
              </w:rPr>
              <w:t>情形之一的</w:t>
            </w:r>
            <w:r>
              <w:rPr>
                <w:rFonts w:ascii="Times New Roman" w:hAnsi="Times New Roman" w:eastAsia="方正仿宋_GBK" w:cs="Times New Roman"/>
                <w:color w:val="000000" w:themeColor="text1"/>
                <w:szCs w:val="21"/>
                <w14:textFill>
                  <w14:solidFill>
                    <w14:schemeClr w14:val="tx1"/>
                  </w14:solidFill>
                </w14:textFill>
              </w:rPr>
              <w:t>建筑垃圾运输企业</w:t>
            </w:r>
          </w:p>
        </w:tc>
        <w:tc>
          <w:tcPr>
            <w:tcW w:w="2977" w:type="dxa"/>
            <w:vAlign w:val="center"/>
          </w:tcPr>
          <w:p w14:paraId="478C13B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南京市城市治理条例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第二十九条</w:t>
            </w:r>
          </w:p>
        </w:tc>
        <w:tc>
          <w:tcPr>
            <w:tcW w:w="1701" w:type="dxa"/>
            <w:vAlign w:val="center"/>
          </w:tcPr>
          <w:p w14:paraId="63DD636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城市管理部门</w:t>
            </w:r>
          </w:p>
        </w:tc>
      </w:tr>
      <w:tr w14:paraId="6A04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A29CFF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311B5686">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00D323D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报经有批准权的人民政府批准，可以责令停业或者关闭</w:t>
            </w:r>
          </w:p>
        </w:tc>
        <w:tc>
          <w:tcPr>
            <w:tcW w:w="3969" w:type="dxa"/>
            <w:vAlign w:val="center"/>
          </w:tcPr>
          <w:p w14:paraId="3F124AF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运输、利用、处置工业固体废物的</w:t>
            </w:r>
            <w:r>
              <w:rPr>
                <w:rFonts w:hint="eastAsia" w:ascii="Times New Roman" w:hAnsi="Times New Roman" w:eastAsia="方正仿宋_GBK" w:cs="Times New Roman"/>
                <w:color w:val="000000" w:themeColor="text1"/>
                <w:szCs w:val="21"/>
                <w14:textFill>
                  <w14:solidFill>
                    <w14:schemeClr w14:val="tx1"/>
                  </w14:solidFill>
                </w14:textFill>
              </w:rPr>
              <w:t>受托方</w:t>
            </w:r>
            <w:r>
              <w:rPr>
                <w:rFonts w:ascii="Times New Roman" w:hAnsi="Times New Roman" w:eastAsia="方正仿宋_GBK" w:cs="Times New Roman"/>
                <w:color w:val="000000" w:themeColor="text1"/>
                <w:szCs w:val="21"/>
                <w14:textFill>
                  <w14:solidFill>
                    <w14:schemeClr w14:val="tx1"/>
                  </w14:solidFill>
                </w14:textFill>
              </w:rPr>
              <w:t>违反条例第二十二条第二款规定</w:t>
            </w:r>
            <w:r>
              <w:rPr>
                <w:rFonts w:hint="eastAsia" w:ascii="Times New Roman" w:hAnsi="Times New Roman" w:eastAsia="方正仿宋_GBK" w:cs="Times New Roman"/>
                <w:color w:val="000000" w:themeColor="text1"/>
                <w:szCs w:val="21"/>
                <w14:textFill>
                  <w14:solidFill>
                    <w14:schemeClr w14:val="tx1"/>
                  </w14:solidFill>
                </w14:textFill>
              </w:rPr>
              <w:t>，且情节严重的</w:t>
            </w:r>
          </w:p>
        </w:tc>
        <w:tc>
          <w:tcPr>
            <w:tcW w:w="2977" w:type="dxa"/>
            <w:vAlign w:val="center"/>
          </w:tcPr>
          <w:p w14:paraId="3BD3B6F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南京市固体废物污染环境防治条例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第五十七条</w:t>
            </w:r>
          </w:p>
        </w:tc>
        <w:tc>
          <w:tcPr>
            <w:tcW w:w="1701" w:type="dxa"/>
            <w:vAlign w:val="center"/>
          </w:tcPr>
          <w:p w14:paraId="441FB62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生态环境部门</w:t>
            </w:r>
          </w:p>
        </w:tc>
      </w:tr>
      <w:tr w14:paraId="557F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C1FB4B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676476FE">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1435D63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报经有批准权的人民政府批准，</w:t>
            </w:r>
            <w:r>
              <w:rPr>
                <w:rFonts w:ascii="Times New Roman" w:hAnsi="Times New Roman" w:eastAsia="方正仿宋_GBK" w:cs="Times New Roman"/>
                <w:color w:val="000000" w:themeColor="text1"/>
                <w:szCs w:val="21"/>
                <w14:textFill>
                  <w14:solidFill>
                    <w14:schemeClr w14:val="tx1"/>
                  </w14:solidFill>
                </w14:textFill>
              </w:rPr>
              <w:t>责令</w:t>
            </w:r>
            <w:r>
              <w:rPr>
                <w:rFonts w:hint="eastAsia" w:ascii="Times New Roman" w:hAnsi="Times New Roman" w:eastAsia="方正仿宋_GBK" w:cs="Times New Roman"/>
                <w:color w:val="000000" w:themeColor="text1"/>
                <w:szCs w:val="21"/>
                <w14:textFill>
                  <w14:solidFill>
                    <w14:schemeClr w14:val="tx1"/>
                  </w14:solidFill>
                </w14:textFill>
              </w:rPr>
              <w:t>停业、关闭或</w:t>
            </w:r>
            <w:r>
              <w:rPr>
                <w:rFonts w:ascii="Times New Roman" w:hAnsi="Times New Roman" w:eastAsia="方正仿宋_GBK" w:cs="Times New Roman"/>
                <w:color w:val="000000" w:themeColor="text1"/>
                <w:szCs w:val="21"/>
                <w14:textFill>
                  <w14:solidFill>
                    <w14:schemeClr w14:val="tx1"/>
                  </w14:solidFill>
                </w14:textFill>
              </w:rPr>
              <w:t>停产整治</w:t>
            </w:r>
          </w:p>
        </w:tc>
        <w:tc>
          <w:tcPr>
            <w:tcW w:w="3969" w:type="dxa"/>
            <w:vAlign w:val="center"/>
          </w:tcPr>
          <w:p w14:paraId="706739E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南京市大气污染防治条例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第二十三条</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第三十三条第二款</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第五十条第二款</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第五十条第三款</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第五十六条第二款</w:t>
            </w:r>
            <w:r>
              <w:rPr>
                <w:rFonts w:hint="eastAsia" w:ascii="Times New Roman" w:hAnsi="Times New Roman" w:eastAsia="方正仿宋_GBK" w:cs="Times New Roman"/>
                <w:color w:val="000000" w:themeColor="text1"/>
                <w:szCs w:val="21"/>
                <w14:textFill>
                  <w14:solidFill>
                    <w14:schemeClr w14:val="tx1"/>
                  </w14:solidFill>
                </w14:textFill>
              </w:rPr>
              <w:t>规定，拒不改正或情节严重的相关主体</w:t>
            </w:r>
          </w:p>
        </w:tc>
        <w:tc>
          <w:tcPr>
            <w:tcW w:w="2977" w:type="dxa"/>
            <w:vAlign w:val="center"/>
          </w:tcPr>
          <w:p w14:paraId="4324D81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南京市大气污染防治条例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第五十九条</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第六十二条</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第六十五条</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第六十六条</w:t>
            </w:r>
          </w:p>
        </w:tc>
        <w:tc>
          <w:tcPr>
            <w:tcW w:w="1701" w:type="dxa"/>
            <w:vAlign w:val="center"/>
          </w:tcPr>
          <w:p w14:paraId="7782B25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生态环境部门</w:t>
            </w:r>
          </w:p>
        </w:tc>
      </w:tr>
      <w:tr w14:paraId="1F31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FFE498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5957C530">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1734BA1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责令停产整治</w:t>
            </w:r>
          </w:p>
        </w:tc>
        <w:tc>
          <w:tcPr>
            <w:tcW w:w="3969" w:type="dxa"/>
            <w:vAlign w:val="center"/>
          </w:tcPr>
          <w:p w14:paraId="5CD42DF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违反《</w:t>
            </w:r>
            <w:r>
              <w:rPr>
                <w:rFonts w:ascii="Times New Roman" w:hAnsi="Times New Roman" w:eastAsia="方正仿宋_GBK" w:cs="Times New Roman"/>
                <w:color w:val="000000" w:themeColor="text1"/>
                <w:szCs w:val="21"/>
                <w14:textFill>
                  <w14:solidFill>
                    <w14:schemeClr w14:val="tx1"/>
                  </w14:solidFill>
                </w14:textFill>
              </w:rPr>
              <w:t>南京市水资源保护条例</w:t>
            </w:r>
            <w:r>
              <w:rPr>
                <w:rFonts w:hint="eastAsia" w:ascii="Times New Roman" w:hAnsi="Times New Roman" w:eastAsia="方正仿宋_GBK" w:cs="Times New Roman"/>
                <w:color w:val="000000" w:themeColor="text1"/>
                <w:szCs w:val="21"/>
                <w14:textFill>
                  <w14:solidFill>
                    <w14:schemeClr w14:val="tx1"/>
                  </w14:solidFill>
                </w14:textFill>
              </w:rPr>
              <w:t>》规定，</w:t>
            </w:r>
            <w:r>
              <w:rPr>
                <w:rFonts w:ascii="Times New Roman" w:hAnsi="Times New Roman" w:eastAsia="方正仿宋_GBK" w:cs="Times New Roman"/>
                <w:color w:val="000000" w:themeColor="text1"/>
                <w:szCs w:val="21"/>
                <w14:textFill>
                  <w14:solidFill>
                    <w14:schemeClr w14:val="tx1"/>
                  </w14:solidFill>
                </w14:textFill>
              </w:rPr>
              <w:t>在饮用水水源保护区内设置排污口</w:t>
            </w:r>
            <w:r>
              <w:rPr>
                <w:rFonts w:hint="eastAsia" w:ascii="Times New Roman" w:hAnsi="Times New Roman" w:eastAsia="方正仿宋_GBK" w:cs="Times New Roman"/>
                <w:color w:val="000000" w:themeColor="text1"/>
                <w:szCs w:val="21"/>
                <w14:textFill>
                  <w14:solidFill>
                    <w14:schemeClr w14:val="tx1"/>
                  </w14:solidFill>
                </w14:textFill>
              </w:rPr>
              <w:t>且逾期不拆除的，或未经水行政主管部门同意</w:t>
            </w:r>
            <w:r>
              <w:rPr>
                <w:rFonts w:ascii="Times New Roman" w:hAnsi="Times New Roman" w:eastAsia="方正仿宋_GBK" w:cs="Times New Roman"/>
                <w:color w:val="000000" w:themeColor="text1"/>
                <w:szCs w:val="21"/>
                <w14:textFill>
                  <w14:solidFill>
                    <w14:schemeClr w14:val="tx1"/>
                  </w14:solidFill>
                </w14:textFill>
              </w:rPr>
              <w:t>在河道、湖泊新建、改建、扩建排污口</w:t>
            </w:r>
            <w:r>
              <w:rPr>
                <w:rFonts w:hint="eastAsia" w:ascii="Times New Roman" w:hAnsi="Times New Roman" w:eastAsia="方正仿宋_GBK" w:cs="Times New Roman"/>
                <w:color w:val="000000" w:themeColor="text1"/>
                <w:szCs w:val="21"/>
                <w14:textFill>
                  <w14:solidFill>
                    <w14:schemeClr w14:val="tx1"/>
                  </w14:solidFill>
                </w14:textFill>
              </w:rPr>
              <w:t>且情节严重的主体</w:t>
            </w:r>
          </w:p>
        </w:tc>
        <w:tc>
          <w:tcPr>
            <w:tcW w:w="2977" w:type="dxa"/>
            <w:vAlign w:val="center"/>
          </w:tcPr>
          <w:p w14:paraId="52F54C1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南京市水资源保护条例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第四十二条</w:t>
            </w:r>
          </w:p>
        </w:tc>
        <w:tc>
          <w:tcPr>
            <w:tcW w:w="1701" w:type="dxa"/>
            <w:vAlign w:val="center"/>
          </w:tcPr>
          <w:p w14:paraId="277571B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szCs w:val="21"/>
              </w:rPr>
              <w:t>水务</w:t>
            </w:r>
            <w:r>
              <w:rPr>
                <w:rFonts w:ascii="Times New Roman" w:hAnsi="Times New Roman" w:eastAsia="方正仿宋_GBK" w:cs="Times New Roman"/>
                <w:szCs w:val="21"/>
              </w:rPr>
              <w:t>部门</w:t>
            </w:r>
          </w:p>
        </w:tc>
      </w:tr>
      <w:tr w14:paraId="424B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1084888">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65D36BC9">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7ADAEAE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吊销排水许可证</w:t>
            </w:r>
          </w:p>
        </w:tc>
        <w:tc>
          <w:tcPr>
            <w:tcW w:w="3969" w:type="dxa"/>
            <w:vAlign w:val="center"/>
          </w:tcPr>
          <w:p w14:paraId="3B7203B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将已取得的排水许可证出租、出借、转让他人</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逾期不改正或者造成严重后果的</w:t>
            </w:r>
            <w:r>
              <w:rPr>
                <w:rFonts w:hint="eastAsia" w:ascii="Times New Roman" w:hAnsi="Times New Roman" w:eastAsia="方正仿宋_GBK" w:cs="Times New Roman"/>
                <w:color w:val="000000" w:themeColor="text1"/>
                <w:szCs w:val="21"/>
                <w14:textFill>
                  <w14:solidFill>
                    <w14:schemeClr w14:val="tx1"/>
                  </w14:solidFill>
                </w14:textFill>
              </w:rPr>
              <w:t>排水户</w:t>
            </w:r>
          </w:p>
        </w:tc>
        <w:tc>
          <w:tcPr>
            <w:tcW w:w="2977" w:type="dxa"/>
            <w:vAlign w:val="center"/>
          </w:tcPr>
          <w:p w14:paraId="200684D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南京市排水条例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第四十九条</w:t>
            </w:r>
          </w:p>
        </w:tc>
        <w:tc>
          <w:tcPr>
            <w:tcW w:w="1701" w:type="dxa"/>
            <w:vAlign w:val="center"/>
          </w:tcPr>
          <w:p w14:paraId="3522E66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szCs w:val="21"/>
              </w:rPr>
              <w:t>水务</w:t>
            </w:r>
            <w:r>
              <w:rPr>
                <w:rFonts w:ascii="Times New Roman" w:hAnsi="Times New Roman" w:eastAsia="方正仿宋_GBK" w:cs="Times New Roman"/>
                <w:szCs w:val="21"/>
              </w:rPr>
              <w:t>部门</w:t>
            </w:r>
          </w:p>
        </w:tc>
      </w:tr>
      <w:tr w14:paraId="376E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8" w:type="dxa"/>
            <w:vMerge w:val="continue"/>
            <w:vAlign w:val="center"/>
          </w:tcPr>
          <w:p w14:paraId="74E4118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6C808AC1">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1A5808E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责令停业、整治</w:t>
            </w:r>
          </w:p>
        </w:tc>
        <w:tc>
          <w:tcPr>
            <w:tcW w:w="3969" w:type="dxa"/>
            <w:vAlign w:val="center"/>
          </w:tcPr>
          <w:p w14:paraId="3E5B147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配建的预处理设施未能正常运行</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逾期不改正或者造成严重后果的餐饮、汽车清洗、建设工程施工等产生油脂或者泥砂的排水户</w:t>
            </w:r>
          </w:p>
        </w:tc>
        <w:tc>
          <w:tcPr>
            <w:tcW w:w="2977" w:type="dxa"/>
            <w:vAlign w:val="center"/>
          </w:tcPr>
          <w:p w14:paraId="472DAF3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南京市排水条例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w:t>
            </w:r>
            <w:r>
              <w:rPr>
                <w:rFonts w:hint="eastAsia" w:ascii="Times New Roman" w:hAnsi="Times New Roman" w:eastAsia="方正仿宋_GBK" w:cs="Times New Roman"/>
                <w:color w:val="000000" w:themeColor="text1"/>
                <w:szCs w:val="21"/>
                <w14:textFill>
                  <w14:solidFill>
                    <w14:schemeClr w14:val="tx1"/>
                  </w14:solidFill>
                </w14:textFill>
              </w:rPr>
              <w:t>五十</w:t>
            </w:r>
            <w:r>
              <w:rPr>
                <w:rFonts w:ascii="Times New Roman" w:hAnsi="Times New Roman" w:eastAsia="方正仿宋_GBK" w:cs="Times New Roman"/>
                <w:color w:val="000000" w:themeColor="text1"/>
                <w:szCs w:val="21"/>
                <w14:textFill>
                  <w14:solidFill>
                    <w14:schemeClr w14:val="tx1"/>
                  </w14:solidFill>
                </w14:textFill>
              </w:rPr>
              <w:t>条</w:t>
            </w:r>
          </w:p>
        </w:tc>
        <w:tc>
          <w:tcPr>
            <w:tcW w:w="1701" w:type="dxa"/>
            <w:vAlign w:val="center"/>
          </w:tcPr>
          <w:p w14:paraId="3EA7A67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szCs w:val="21"/>
              </w:rPr>
              <w:t>水务</w:t>
            </w:r>
            <w:r>
              <w:rPr>
                <w:rFonts w:ascii="Times New Roman" w:hAnsi="Times New Roman" w:eastAsia="方正仿宋_GBK" w:cs="Times New Roman"/>
                <w:szCs w:val="21"/>
              </w:rPr>
              <w:t>部门</w:t>
            </w:r>
          </w:p>
        </w:tc>
      </w:tr>
      <w:tr w14:paraId="6258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2801C98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w:t>
            </w:r>
          </w:p>
        </w:tc>
        <w:tc>
          <w:tcPr>
            <w:tcW w:w="1381" w:type="dxa"/>
            <w:vMerge w:val="restart"/>
            <w:vAlign w:val="center"/>
          </w:tcPr>
          <w:p w14:paraId="679CCD74">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依法依规实施市场或行业禁入（退出）</w:t>
            </w:r>
          </w:p>
        </w:tc>
        <w:tc>
          <w:tcPr>
            <w:tcW w:w="2534" w:type="dxa"/>
            <w:vAlign w:val="center"/>
          </w:tcPr>
          <w:p w14:paraId="0582C8B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限制生产或者停产整治</w:t>
            </w:r>
          </w:p>
        </w:tc>
        <w:tc>
          <w:tcPr>
            <w:tcW w:w="3969" w:type="dxa"/>
            <w:vAlign w:val="center"/>
          </w:tcPr>
          <w:p w14:paraId="0559D0D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有《</w:t>
            </w:r>
            <w:r>
              <w:rPr>
                <w:rFonts w:ascii="Times New Roman" w:hAnsi="Times New Roman" w:eastAsia="方正仿宋_GBK" w:cs="Times New Roman"/>
                <w:color w:val="000000" w:themeColor="text1"/>
                <w:szCs w:val="21"/>
                <w14:textFill>
                  <w14:solidFill>
                    <w14:schemeClr w14:val="tx1"/>
                  </w14:solidFill>
                </w14:textFill>
              </w:rPr>
              <w:t>南京市水环境保护条例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第五十一条情形之一的</w:t>
            </w:r>
            <w:r>
              <w:rPr>
                <w:rFonts w:hint="eastAsia" w:ascii="Times New Roman" w:hAnsi="Times New Roman" w:eastAsia="方正仿宋_GBK" w:cs="Times New Roman"/>
                <w:color w:val="000000" w:themeColor="text1"/>
                <w:szCs w:val="21"/>
                <w14:textFill>
                  <w14:solidFill>
                    <w14:schemeClr w14:val="tx1"/>
                  </w14:solidFill>
                </w14:textFill>
              </w:rPr>
              <w:t>主体</w:t>
            </w:r>
          </w:p>
        </w:tc>
        <w:tc>
          <w:tcPr>
            <w:tcW w:w="2977" w:type="dxa"/>
            <w:vAlign w:val="center"/>
          </w:tcPr>
          <w:p w14:paraId="61ADBE3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南京市水环境保护条例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第五十一条</w:t>
            </w:r>
          </w:p>
        </w:tc>
        <w:tc>
          <w:tcPr>
            <w:tcW w:w="1701" w:type="dxa"/>
            <w:vAlign w:val="center"/>
          </w:tcPr>
          <w:p w14:paraId="616641D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生态环境部门</w:t>
            </w:r>
          </w:p>
        </w:tc>
      </w:tr>
      <w:tr w14:paraId="1215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655B0D6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711D21C5">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05A5731D">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责令停产整治</w:t>
            </w:r>
          </w:p>
        </w:tc>
        <w:tc>
          <w:tcPr>
            <w:tcW w:w="3969" w:type="dxa"/>
            <w:vAlign w:val="center"/>
          </w:tcPr>
          <w:p w14:paraId="373DCC6B">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车用汽油加油站、车用汽油运输车辆未按照国家有关规定安装并正常使用油气回收装置</w:t>
            </w:r>
            <w:r>
              <w:rPr>
                <w:rFonts w:hint="eastAsia" w:ascii="Times New Roman" w:hAnsi="Times New Roman" w:eastAsia="方正仿宋_GBK" w:cs="Times New Roman"/>
                <w:color w:val="000000" w:themeColor="text1"/>
                <w:szCs w:val="21"/>
                <w14:textFill>
                  <w14:solidFill>
                    <w14:schemeClr w14:val="tx1"/>
                  </w14:solidFill>
                </w14:textFill>
              </w:rPr>
              <w:t>或</w:t>
            </w:r>
            <w:r>
              <w:rPr>
                <w:rFonts w:ascii="Times New Roman" w:hAnsi="Times New Roman" w:eastAsia="方正仿宋_GBK" w:cs="Times New Roman"/>
                <w:color w:val="000000" w:themeColor="text1"/>
                <w:szCs w:val="21"/>
                <w14:textFill>
                  <w14:solidFill>
                    <w14:schemeClr w14:val="tx1"/>
                  </w14:solidFill>
                </w14:textFill>
              </w:rPr>
              <w:t>年销售汽油量五千吨以上的加油站未按照规定安装在线监测系统</w:t>
            </w:r>
            <w:r>
              <w:rPr>
                <w:rFonts w:hint="eastAsia" w:ascii="Times New Roman" w:hAnsi="Times New Roman" w:eastAsia="方正仿宋_GBK" w:cs="Times New Roman"/>
                <w:color w:val="000000" w:themeColor="text1"/>
                <w:szCs w:val="21"/>
                <w14:textFill>
                  <w14:solidFill>
                    <w14:schemeClr w14:val="tx1"/>
                  </w14:solidFill>
                </w14:textFill>
              </w:rPr>
              <w:t>，且拒不改正的主体</w:t>
            </w:r>
          </w:p>
        </w:tc>
        <w:tc>
          <w:tcPr>
            <w:tcW w:w="2977" w:type="dxa"/>
            <w:vAlign w:val="center"/>
          </w:tcPr>
          <w:p w14:paraId="58D7F72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南京市机动车排气污染防治条例</w:t>
            </w:r>
            <w:r>
              <w:rPr>
                <w:rFonts w:hint="eastAsia" w:ascii="Times New Roman" w:hAnsi="Times New Roman" w:eastAsia="方正仿宋_GBK" w:cs="Times New Roman"/>
                <w:color w:val="000000" w:themeColor="text1"/>
                <w:szCs w:val="21"/>
                <w14:textFill>
                  <w14:solidFill>
                    <w14:schemeClr w14:val="tx1"/>
                  </w14:solidFill>
                </w14:textFill>
              </w:rPr>
              <w:t>》第</w:t>
            </w:r>
            <w:r>
              <w:rPr>
                <w:rFonts w:ascii="Times New Roman" w:hAnsi="Times New Roman" w:eastAsia="方正仿宋_GBK" w:cs="Times New Roman"/>
                <w:color w:val="000000" w:themeColor="text1"/>
                <w:szCs w:val="21"/>
                <w14:textFill>
                  <w14:solidFill>
                    <w14:schemeClr w14:val="tx1"/>
                  </w14:solidFill>
                </w14:textFill>
              </w:rPr>
              <w:t>三十三条</w:t>
            </w:r>
          </w:p>
        </w:tc>
        <w:tc>
          <w:tcPr>
            <w:tcW w:w="1701" w:type="dxa"/>
            <w:vAlign w:val="center"/>
          </w:tcPr>
          <w:p w14:paraId="70310AD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生态环境部门</w:t>
            </w:r>
          </w:p>
        </w:tc>
      </w:tr>
      <w:tr w14:paraId="2C12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7272838C">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w:t>
            </w:r>
          </w:p>
        </w:tc>
        <w:tc>
          <w:tcPr>
            <w:tcW w:w="1381" w:type="dxa"/>
            <w:vMerge w:val="restart"/>
            <w:vAlign w:val="center"/>
          </w:tcPr>
          <w:p w14:paraId="2E2D8866">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依法依规限制申请财政性资金项目</w:t>
            </w:r>
          </w:p>
        </w:tc>
        <w:tc>
          <w:tcPr>
            <w:tcW w:w="2534" w:type="dxa"/>
            <w:vAlign w:val="center"/>
          </w:tcPr>
          <w:p w14:paraId="23D67252">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一定期限内禁止承担或者参与财政性资金支持的科学技术活动、申请相关科学技术活动行政许可</w:t>
            </w:r>
          </w:p>
        </w:tc>
        <w:tc>
          <w:tcPr>
            <w:tcW w:w="3969" w:type="dxa"/>
            <w:vAlign w:val="center"/>
          </w:tcPr>
          <w:p w14:paraId="74EC6F4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规定，进行危害国家安全、损害社会公共利益、危害人体健康、违背科研诚信和科技伦理的科学技术研究开发和应用活动</w:t>
            </w:r>
            <w:r>
              <w:rPr>
                <w:rFonts w:hint="eastAsia" w:ascii="Times New Roman" w:hAnsi="Times New Roman" w:eastAsia="方正仿宋_GBK" w:cs="Times New Roman"/>
                <w:color w:val="000000" w:themeColor="text1"/>
                <w:szCs w:val="21"/>
                <w14:textFill>
                  <w14:solidFill>
                    <w14:schemeClr w14:val="tx1"/>
                  </w14:solidFill>
                </w14:textFill>
              </w:rPr>
              <w:t>，情节严重的主体</w:t>
            </w:r>
          </w:p>
        </w:tc>
        <w:tc>
          <w:tcPr>
            <w:tcW w:w="2977" w:type="dxa"/>
            <w:vAlign w:val="center"/>
          </w:tcPr>
          <w:p w14:paraId="22D917A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》第七十三条</w:t>
            </w:r>
          </w:p>
        </w:tc>
        <w:tc>
          <w:tcPr>
            <w:tcW w:w="1701" w:type="dxa"/>
            <w:vAlign w:val="center"/>
          </w:tcPr>
          <w:p w14:paraId="7D6CC57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kern w:val="0"/>
                <w:szCs w:val="21"/>
              </w:rPr>
              <w:t>科学技术部门和有关部门</w:t>
            </w:r>
          </w:p>
        </w:tc>
      </w:tr>
      <w:tr w14:paraId="0300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97465A6">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016C95B5">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3DB7F2BB">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一定期限内</w:t>
            </w:r>
            <w:r>
              <w:rPr>
                <w:rFonts w:hint="eastAsia" w:ascii="Times New Roman" w:hAnsi="Times New Roman" w:eastAsia="方正仿宋_GBK" w:cs="Times New Roman"/>
                <w:color w:val="000000" w:themeColor="text1"/>
                <w:szCs w:val="21"/>
                <w14:textFill>
                  <w14:solidFill>
                    <w14:schemeClr w14:val="tx1"/>
                  </w14:solidFill>
                </w14:textFill>
              </w:rPr>
              <w:t>禁止</w:t>
            </w:r>
            <w:r>
              <w:rPr>
                <w:rFonts w:ascii="Times New Roman" w:hAnsi="Times New Roman" w:eastAsia="方正仿宋_GBK" w:cs="Times New Roman"/>
                <w:color w:val="000000" w:themeColor="text1"/>
                <w:szCs w:val="21"/>
                <w14:textFill>
                  <w14:solidFill>
                    <w14:schemeClr w14:val="tx1"/>
                  </w14:solidFill>
                </w14:textFill>
              </w:rPr>
              <w:t>承担或者参与财政性资金支持的科学技术活动</w:t>
            </w:r>
          </w:p>
        </w:tc>
        <w:tc>
          <w:tcPr>
            <w:tcW w:w="3969" w:type="dxa"/>
            <w:vAlign w:val="center"/>
          </w:tcPr>
          <w:p w14:paraId="54E7CFB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规定，虚报、冒领、贪污、挪用、截留用于科学技术进步的财政性资金</w:t>
            </w:r>
            <w:r>
              <w:rPr>
                <w:rFonts w:hint="eastAsia" w:ascii="Times New Roman" w:hAnsi="Times New Roman" w:eastAsia="方正仿宋_GBK" w:cs="Times New Roman"/>
                <w:color w:val="000000" w:themeColor="text1"/>
                <w:szCs w:val="21"/>
                <w14:textFill>
                  <w14:solidFill>
                    <w14:schemeClr w14:val="tx1"/>
                  </w14:solidFill>
                </w14:textFill>
              </w:rPr>
              <w:t>，情节严重的主体</w:t>
            </w:r>
          </w:p>
        </w:tc>
        <w:tc>
          <w:tcPr>
            <w:tcW w:w="2977" w:type="dxa"/>
            <w:vAlign w:val="center"/>
          </w:tcPr>
          <w:p w14:paraId="11F5A0E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》第七十二条</w:t>
            </w:r>
          </w:p>
        </w:tc>
        <w:tc>
          <w:tcPr>
            <w:tcW w:w="1701" w:type="dxa"/>
            <w:vAlign w:val="center"/>
          </w:tcPr>
          <w:p w14:paraId="172AE5C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kern w:val="0"/>
                <w:szCs w:val="21"/>
              </w:rPr>
              <w:t>科学技术部门和有关部门</w:t>
            </w:r>
          </w:p>
        </w:tc>
      </w:tr>
      <w:tr w14:paraId="6A3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26C9E57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3</w:t>
            </w:r>
          </w:p>
        </w:tc>
        <w:tc>
          <w:tcPr>
            <w:tcW w:w="1381" w:type="dxa"/>
            <w:vMerge w:val="restart"/>
            <w:vAlign w:val="center"/>
          </w:tcPr>
          <w:p w14:paraId="2A750935">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依法依规限制享受优惠政策和便利措施</w:t>
            </w:r>
          </w:p>
        </w:tc>
        <w:tc>
          <w:tcPr>
            <w:tcW w:w="2534" w:type="dxa"/>
            <w:vAlign w:val="center"/>
          </w:tcPr>
          <w:p w14:paraId="66EEFD3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行政管理中不适用告知承诺等便利化措施</w:t>
            </w:r>
          </w:p>
        </w:tc>
        <w:tc>
          <w:tcPr>
            <w:tcW w:w="3969" w:type="dxa"/>
            <w:vAlign w:val="center"/>
          </w:tcPr>
          <w:p w14:paraId="7974DAF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Merge w:val="restart"/>
            <w:vAlign w:val="center"/>
          </w:tcPr>
          <w:p w14:paraId="1301AB4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《南京市社会信用条例》第三十九条</w:t>
            </w:r>
          </w:p>
        </w:tc>
        <w:tc>
          <w:tcPr>
            <w:tcW w:w="1701" w:type="dxa"/>
            <w:vAlign w:val="center"/>
          </w:tcPr>
          <w:p w14:paraId="4214590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r>
      <w:tr w14:paraId="43C5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4D9643DE">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18B68620">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2D44316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限制申请政府补贴、政策支持</w:t>
            </w:r>
          </w:p>
        </w:tc>
        <w:tc>
          <w:tcPr>
            <w:tcW w:w="3969" w:type="dxa"/>
            <w:vAlign w:val="center"/>
          </w:tcPr>
          <w:p w14:paraId="2C26E8B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Merge w:val="continue"/>
            <w:vAlign w:val="center"/>
          </w:tcPr>
          <w:p w14:paraId="6BBBBC0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p>
        </w:tc>
        <w:tc>
          <w:tcPr>
            <w:tcW w:w="1701" w:type="dxa"/>
            <w:vAlign w:val="center"/>
          </w:tcPr>
          <w:p w14:paraId="1C2A48AB">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r>
      <w:tr w14:paraId="0FA0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887C27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0B3CB75D">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335313C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城市交通等公共服务中，限制享受优惠优待</w:t>
            </w:r>
          </w:p>
        </w:tc>
        <w:tc>
          <w:tcPr>
            <w:tcW w:w="3969" w:type="dxa"/>
            <w:vAlign w:val="center"/>
          </w:tcPr>
          <w:p w14:paraId="152A541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Merge w:val="continue"/>
            <w:vAlign w:val="center"/>
          </w:tcPr>
          <w:p w14:paraId="13E9DDC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p>
        </w:tc>
        <w:tc>
          <w:tcPr>
            <w:tcW w:w="1701" w:type="dxa"/>
            <w:vAlign w:val="center"/>
          </w:tcPr>
          <w:p w14:paraId="0DEE4E8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交通运输</w:t>
            </w:r>
            <w:r>
              <w:rPr>
                <w:rFonts w:hint="eastAsia" w:ascii="Times New Roman" w:hAnsi="Times New Roman" w:eastAsia="方正仿宋_GBK" w:cs="Times New Roman"/>
                <w:color w:val="000000" w:themeColor="text1"/>
                <w:szCs w:val="21"/>
                <w14:textFill>
                  <w14:solidFill>
                    <w14:schemeClr w14:val="tx1"/>
                  </w14:solidFill>
                </w14:textFill>
              </w:rPr>
              <w:t>部门</w:t>
            </w:r>
          </w:p>
        </w:tc>
      </w:tr>
      <w:tr w14:paraId="632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8" w:type="dxa"/>
            <w:vMerge w:val="restart"/>
            <w:vAlign w:val="center"/>
          </w:tcPr>
          <w:p w14:paraId="04FD572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4</w:t>
            </w:r>
          </w:p>
        </w:tc>
        <w:tc>
          <w:tcPr>
            <w:tcW w:w="1381" w:type="dxa"/>
            <w:vMerge w:val="restart"/>
            <w:vAlign w:val="center"/>
          </w:tcPr>
          <w:p w14:paraId="0605C4AC">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依法依规限制参加评先评优</w:t>
            </w:r>
          </w:p>
        </w:tc>
        <w:tc>
          <w:tcPr>
            <w:tcW w:w="2534" w:type="dxa"/>
            <w:vAlign w:val="center"/>
          </w:tcPr>
          <w:p w14:paraId="2656A8D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表彰奖励活动中，给予相应限制</w:t>
            </w:r>
          </w:p>
        </w:tc>
        <w:tc>
          <w:tcPr>
            <w:tcW w:w="3969" w:type="dxa"/>
            <w:vAlign w:val="center"/>
          </w:tcPr>
          <w:p w14:paraId="659910D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Merge w:val="continue"/>
            <w:vAlign w:val="center"/>
          </w:tcPr>
          <w:p w14:paraId="3C27A07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p>
        </w:tc>
        <w:tc>
          <w:tcPr>
            <w:tcW w:w="1701" w:type="dxa"/>
            <w:vAlign w:val="center"/>
          </w:tcPr>
          <w:p w14:paraId="5743839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r>
      <w:tr w14:paraId="4814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758" w:type="dxa"/>
            <w:vMerge w:val="continue"/>
            <w:vAlign w:val="center"/>
          </w:tcPr>
          <w:p w14:paraId="0EECDAC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2F916DE4">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793191C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二年内不得在本市申报各类物业服务示范项目；失信行为改正前，物业管理行政主管部门不予开具诚信证明</w:t>
            </w:r>
          </w:p>
        </w:tc>
        <w:tc>
          <w:tcPr>
            <w:tcW w:w="3969" w:type="dxa"/>
            <w:vAlign w:val="center"/>
          </w:tcPr>
          <w:p w14:paraId="7DB16F5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有《南京市住宅物业管理条例》第</w:t>
            </w:r>
            <w:r>
              <w:rPr>
                <w:rFonts w:hint="eastAsia" w:ascii="Times New Roman" w:hAnsi="Times New Roman" w:eastAsia="方正仿宋_GBK" w:cs="Times New Roman"/>
                <w:color w:val="000000" w:themeColor="text1"/>
                <w:szCs w:val="21"/>
                <w14:textFill>
                  <w14:solidFill>
                    <w14:schemeClr w14:val="tx1"/>
                  </w14:solidFill>
                </w14:textFill>
              </w:rPr>
              <w:t>五十条</w:t>
            </w:r>
            <w:r>
              <w:rPr>
                <w:rFonts w:ascii="Times New Roman" w:hAnsi="Times New Roman" w:eastAsia="方正仿宋_GBK" w:cs="Times New Roman"/>
                <w:color w:val="000000" w:themeColor="text1"/>
                <w:szCs w:val="21"/>
                <w14:textFill>
                  <w14:solidFill>
                    <w14:schemeClr w14:val="tx1"/>
                  </w14:solidFill>
                </w14:textFill>
              </w:rPr>
              <w:t>规定的严重失信行为之一的物业服务企业</w:t>
            </w:r>
          </w:p>
        </w:tc>
        <w:tc>
          <w:tcPr>
            <w:tcW w:w="2977" w:type="dxa"/>
            <w:vAlign w:val="center"/>
          </w:tcPr>
          <w:p w14:paraId="6B895A6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《南京市住宅物业管理条例》第</w:t>
            </w:r>
            <w:r>
              <w:rPr>
                <w:rFonts w:hint="eastAsia" w:ascii="Times New Roman" w:hAnsi="Times New Roman" w:eastAsia="方正仿宋_GBK" w:cs="Times New Roman"/>
                <w:color w:val="000000" w:themeColor="text1"/>
                <w:szCs w:val="21"/>
                <w14:textFill>
                  <w14:solidFill>
                    <w14:schemeClr w14:val="tx1"/>
                  </w14:solidFill>
                </w14:textFill>
              </w:rPr>
              <w:t>五十</w:t>
            </w:r>
            <w:r>
              <w:rPr>
                <w:rFonts w:ascii="Times New Roman" w:hAnsi="Times New Roman" w:eastAsia="方正仿宋_GBK" w:cs="Times New Roman"/>
                <w:color w:val="000000" w:themeColor="text1"/>
                <w:szCs w:val="21"/>
                <w14:textFill>
                  <w14:solidFill>
                    <w14:schemeClr w14:val="tx1"/>
                  </w14:solidFill>
                </w14:textFill>
              </w:rPr>
              <w:t>条</w:t>
            </w:r>
          </w:p>
        </w:tc>
        <w:tc>
          <w:tcPr>
            <w:tcW w:w="1701" w:type="dxa"/>
            <w:vAlign w:val="center"/>
          </w:tcPr>
          <w:p w14:paraId="0F5DAC4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房产</w:t>
            </w:r>
            <w:r>
              <w:rPr>
                <w:rFonts w:ascii="Times New Roman" w:hAnsi="Times New Roman" w:eastAsia="方正仿宋_GBK" w:cs="Times New Roman"/>
                <w:color w:val="000000" w:themeColor="text1"/>
                <w:szCs w:val="21"/>
                <w14:textFill>
                  <w14:solidFill>
                    <w14:schemeClr w14:val="tx1"/>
                  </w14:solidFill>
                </w14:textFill>
              </w:rPr>
              <w:t>部门</w:t>
            </w:r>
          </w:p>
        </w:tc>
      </w:tr>
      <w:tr w14:paraId="5C65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20" w:type="dxa"/>
            <w:gridSpan w:val="6"/>
            <w:vAlign w:val="center"/>
          </w:tcPr>
          <w:p w14:paraId="40E537DD">
            <w:pPr>
              <w:adjustRightInd w:val="0"/>
              <w:snapToGrid w:val="0"/>
              <w:rPr>
                <w:rFonts w:ascii="Times New Roman" w:hAnsi="Times New Roman" w:eastAsia="方正楷体_GBK" w:cs="Times New Roman"/>
                <w:color w:val="000000" w:themeColor="text1"/>
                <w:kern w:val="0"/>
                <w:szCs w:val="21"/>
                <w14:textFill>
                  <w14:solidFill>
                    <w14:schemeClr w14:val="tx1"/>
                  </w14:solidFill>
                </w14:textFill>
              </w:rPr>
            </w:pPr>
            <w:r>
              <w:rPr>
                <w:rFonts w:ascii="Times New Roman" w:hAnsi="Times New Roman" w:eastAsia="方正楷体_GBK" w:cs="Times New Roman"/>
                <w:color w:val="000000" w:themeColor="text1"/>
                <w:kern w:val="0"/>
                <w:szCs w:val="21"/>
                <w14:textFill>
                  <w14:solidFill>
                    <w14:schemeClr w14:val="tx1"/>
                  </w14:solidFill>
                </w14:textFill>
              </w:rPr>
              <w:t>二、江苏省失信惩戒措施补充清单</w:t>
            </w:r>
          </w:p>
        </w:tc>
      </w:tr>
      <w:tr w14:paraId="6100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07872CF0">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5</w:t>
            </w:r>
          </w:p>
        </w:tc>
        <w:tc>
          <w:tcPr>
            <w:tcW w:w="1381" w:type="dxa"/>
            <w:vMerge w:val="restart"/>
            <w:vAlign w:val="center"/>
          </w:tcPr>
          <w:p w14:paraId="67D3B3EC">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依法依规限制公共资源交易</w:t>
            </w:r>
          </w:p>
        </w:tc>
        <w:tc>
          <w:tcPr>
            <w:tcW w:w="2534" w:type="dxa"/>
            <w:vAlign w:val="center"/>
          </w:tcPr>
          <w:p w14:paraId="3FAA628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政府采购、政府投资工程建设招标投标等活动中，降低信用等次或者不适用信用加分等优惠优待</w:t>
            </w:r>
          </w:p>
        </w:tc>
        <w:tc>
          <w:tcPr>
            <w:tcW w:w="3969" w:type="dxa"/>
            <w:vAlign w:val="center"/>
          </w:tcPr>
          <w:p w14:paraId="0693210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Align w:val="center"/>
          </w:tcPr>
          <w:p w14:paraId="5565C0C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《南京市社会信用条例》第三十九条</w:t>
            </w:r>
          </w:p>
        </w:tc>
        <w:tc>
          <w:tcPr>
            <w:tcW w:w="1701" w:type="dxa"/>
            <w:vAlign w:val="center"/>
          </w:tcPr>
          <w:p w14:paraId="3BA2ADCD">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政府采购监督管理部门、招投标监督管理部门</w:t>
            </w:r>
          </w:p>
        </w:tc>
      </w:tr>
      <w:tr w14:paraId="413C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2391DEE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2E20A75F">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35C1B97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物业管理行政主管部门一年内不将其纳入物业管理招标投标平台</w:t>
            </w:r>
          </w:p>
        </w:tc>
        <w:tc>
          <w:tcPr>
            <w:tcW w:w="3969" w:type="dxa"/>
            <w:vAlign w:val="center"/>
          </w:tcPr>
          <w:p w14:paraId="63F598F2">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在物业管理招标投标活动中提供虚假信息，骗取中标的物业服务企业</w:t>
            </w:r>
          </w:p>
        </w:tc>
        <w:tc>
          <w:tcPr>
            <w:tcW w:w="2977" w:type="dxa"/>
            <w:vAlign w:val="center"/>
          </w:tcPr>
          <w:p w14:paraId="0896096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《南京市住宅物业管理条例》第</w:t>
            </w:r>
            <w:r>
              <w:rPr>
                <w:rFonts w:hint="eastAsia" w:ascii="Times New Roman" w:hAnsi="Times New Roman" w:eastAsia="方正仿宋_GBK" w:cs="Times New Roman"/>
                <w:color w:val="000000" w:themeColor="text1"/>
                <w:szCs w:val="21"/>
                <w14:textFill>
                  <w14:solidFill>
                    <w14:schemeClr w14:val="tx1"/>
                  </w14:solidFill>
                </w14:textFill>
              </w:rPr>
              <w:t>五十</w:t>
            </w:r>
            <w:r>
              <w:rPr>
                <w:rFonts w:ascii="Times New Roman" w:hAnsi="Times New Roman" w:eastAsia="方正仿宋_GBK" w:cs="Times New Roman"/>
                <w:color w:val="000000" w:themeColor="text1"/>
                <w:szCs w:val="21"/>
                <w14:textFill>
                  <w14:solidFill>
                    <w14:schemeClr w14:val="tx1"/>
                  </w14:solidFill>
                </w14:textFill>
              </w:rPr>
              <w:t>条</w:t>
            </w:r>
          </w:p>
        </w:tc>
        <w:tc>
          <w:tcPr>
            <w:tcW w:w="1701" w:type="dxa"/>
            <w:vAlign w:val="center"/>
          </w:tcPr>
          <w:p w14:paraId="7EF49C4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房产</w:t>
            </w:r>
            <w:r>
              <w:rPr>
                <w:rFonts w:ascii="Times New Roman" w:hAnsi="Times New Roman" w:eastAsia="方正仿宋_GBK" w:cs="Times New Roman"/>
                <w:color w:val="000000" w:themeColor="text1"/>
                <w:szCs w:val="21"/>
                <w14:textFill>
                  <w14:solidFill>
                    <w14:schemeClr w14:val="tx1"/>
                  </w14:solidFill>
                </w14:textFill>
              </w:rPr>
              <w:t>部门</w:t>
            </w:r>
          </w:p>
        </w:tc>
      </w:tr>
      <w:tr w14:paraId="7AFF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58" w:type="dxa"/>
            <w:vMerge w:val="restart"/>
            <w:vAlign w:val="center"/>
          </w:tcPr>
          <w:p w14:paraId="5ED76D66">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6</w:t>
            </w:r>
          </w:p>
        </w:tc>
        <w:tc>
          <w:tcPr>
            <w:tcW w:w="1381" w:type="dxa"/>
            <w:vMerge w:val="restart"/>
            <w:vAlign w:val="center"/>
          </w:tcPr>
          <w:p w14:paraId="098CD23A">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取消财政资金补助、项目支持</w:t>
            </w:r>
          </w:p>
        </w:tc>
        <w:tc>
          <w:tcPr>
            <w:tcW w:w="2534" w:type="dxa"/>
            <w:vAlign w:val="center"/>
          </w:tcPr>
          <w:p w14:paraId="7A69AB52">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依法追回有关财政性资金，并可以暂停拨款，终止或者撤销有关科学技术活动</w:t>
            </w:r>
          </w:p>
        </w:tc>
        <w:tc>
          <w:tcPr>
            <w:tcW w:w="3969" w:type="dxa"/>
            <w:vAlign w:val="center"/>
          </w:tcPr>
          <w:p w14:paraId="42DE681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违反《南京市科学技术进步条例》规定，虚报、冒领、贪污、挪用、截留用于科学技术进步的财政性资金的主体</w:t>
            </w:r>
          </w:p>
        </w:tc>
        <w:tc>
          <w:tcPr>
            <w:tcW w:w="2977" w:type="dxa"/>
            <w:vAlign w:val="center"/>
          </w:tcPr>
          <w:p w14:paraId="2A306B7D">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》第七十二条</w:t>
            </w:r>
          </w:p>
        </w:tc>
        <w:tc>
          <w:tcPr>
            <w:tcW w:w="1701" w:type="dxa"/>
            <w:vAlign w:val="center"/>
          </w:tcPr>
          <w:p w14:paraId="1E98600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kern w:val="0"/>
                <w:szCs w:val="21"/>
              </w:rPr>
              <w:t>科学技术部门和有关部门</w:t>
            </w:r>
          </w:p>
        </w:tc>
      </w:tr>
      <w:tr w14:paraId="3F6D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603CEA1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1BEDD152">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0D84038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终止或者撤销相关科学技术活动，追回财政性资金</w:t>
            </w:r>
          </w:p>
        </w:tc>
        <w:tc>
          <w:tcPr>
            <w:tcW w:w="3969" w:type="dxa"/>
            <w:vAlign w:val="center"/>
          </w:tcPr>
          <w:p w14:paraId="1C87B8CB">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规定，进行危害国家安全、损害社会公共利益、危害人体健康、违背科研诚信和科技伦理的科学技术研究开发和应用活动</w:t>
            </w:r>
            <w:r>
              <w:rPr>
                <w:rFonts w:hint="eastAsia" w:ascii="Times New Roman" w:hAnsi="Times New Roman" w:eastAsia="方正仿宋_GBK" w:cs="Times New Roman"/>
                <w:color w:val="000000" w:themeColor="text1"/>
                <w:szCs w:val="21"/>
                <w14:textFill>
                  <w14:solidFill>
                    <w14:schemeClr w14:val="tx1"/>
                  </w14:solidFill>
                </w14:textFill>
              </w:rPr>
              <w:t>的主体</w:t>
            </w:r>
          </w:p>
        </w:tc>
        <w:tc>
          <w:tcPr>
            <w:tcW w:w="2977" w:type="dxa"/>
            <w:vAlign w:val="center"/>
          </w:tcPr>
          <w:p w14:paraId="4647834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》第七十三条</w:t>
            </w:r>
          </w:p>
        </w:tc>
        <w:tc>
          <w:tcPr>
            <w:tcW w:w="1701" w:type="dxa"/>
            <w:vAlign w:val="center"/>
          </w:tcPr>
          <w:p w14:paraId="40836F9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kern w:val="0"/>
                <w:szCs w:val="21"/>
              </w:rPr>
              <w:t>科学技术部门和有关部门</w:t>
            </w:r>
          </w:p>
        </w:tc>
      </w:tr>
      <w:tr w14:paraId="6D62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8" w:type="dxa"/>
            <w:vMerge w:val="continue"/>
            <w:vAlign w:val="center"/>
          </w:tcPr>
          <w:p w14:paraId="00B0041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7B98FB0E">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36E4441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中止或者取消优惠扶持待遇</w:t>
            </w:r>
          </w:p>
        </w:tc>
        <w:tc>
          <w:tcPr>
            <w:tcW w:w="3969" w:type="dxa"/>
            <w:vAlign w:val="center"/>
          </w:tcPr>
          <w:p w14:paraId="6E15236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《南京市养老服务条例》</w:t>
            </w:r>
            <w:r>
              <w:rPr>
                <w:rFonts w:ascii="Times New Roman" w:hAnsi="Times New Roman" w:eastAsia="方正仿宋_GBK" w:cs="Times New Roman"/>
                <w:color w:val="000000" w:themeColor="text1"/>
                <w:szCs w:val="21"/>
                <w14:textFill>
                  <w14:solidFill>
                    <w14:schemeClr w14:val="tx1"/>
                  </w14:solidFill>
                </w14:textFill>
              </w:rPr>
              <w:t>第三十二条规定，未与老年人或者其代理人签订养老服务合同的</w:t>
            </w:r>
            <w:r>
              <w:rPr>
                <w:rFonts w:hint="eastAsia" w:ascii="Times New Roman" w:hAnsi="Times New Roman" w:eastAsia="方正仿宋_GBK" w:cs="Times New Roman"/>
                <w:color w:val="000000" w:themeColor="text1"/>
                <w:szCs w:val="21"/>
                <w14:textFill>
                  <w14:solidFill>
                    <w14:schemeClr w14:val="tx1"/>
                  </w14:solidFill>
                </w14:textFill>
              </w:rPr>
              <w:t>，或者</w:t>
            </w:r>
            <w:r>
              <w:rPr>
                <w:rFonts w:ascii="Times New Roman" w:hAnsi="Times New Roman" w:eastAsia="方正仿宋_GBK" w:cs="Times New Roman"/>
                <w:color w:val="000000" w:themeColor="text1"/>
                <w:szCs w:val="21"/>
                <w14:textFill>
                  <w14:solidFill>
                    <w14:schemeClr w14:val="tx1"/>
                  </w14:solidFill>
                </w14:textFill>
              </w:rPr>
              <w:t>违反第三十四条第一款规定，配备人员的资格不符合规定</w:t>
            </w:r>
            <w:r>
              <w:rPr>
                <w:rFonts w:hint="eastAsia" w:ascii="Times New Roman" w:hAnsi="Times New Roman" w:eastAsia="方正仿宋_GBK" w:cs="Times New Roman"/>
                <w:color w:val="000000" w:themeColor="text1"/>
                <w:szCs w:val="21"/>
                <w14:textFill>
                  <w14:solidFill>
                    <w14:schemeClr w14:val="tx1"/>
                  </w14:solidFill>
                </w14:textFill>
              </w:rPr>
              <w:t>的养老机构</w:t>
            </w:r>
          </w:p>
        </w:tc>
        <w:tc>
          <w:tcPr>
            <w:tcW w:w="2977" w:type="dxa"/>
            <w:vAlign w:val="center"/>
          </w:tcPr>
          <w:p w14:paraId="740E8BE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《南京市养老服务条例》第七十二条</w:t>
            </w:r>
          </w:p>
        </w:tc>
        <w:tc>
          <w:tcPr>
            <w:tcW w:w="1701" w:type="dxa"/>
            <w:vAlign w:val="center"/>
          </w:tcPr>
          <w:p w14:paraId="6D18FCF2">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民政部门</w:t>
            </w:r>
          </w:p>
        </w:tc>
      </w:tr>
      <w:tr w14:paraId="7228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8" w:type="dxa"/>
            <w:vMerge w:val="restart"/>
            <w:vAlign w:val="center"/>
          </w:tcPr>
          <w:p w14:paraId="34C9633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7</w:t>
            </w:r>
          </w:p>
        </w:tc>
        <w:tc>
          <w:tcPr>
            <w:tcW w:w="1381" w:type="dxa"/>
            <w:vMerge w:val="restart"/>
            <w:vAlign w:val="center"/>
          </w:tcPr>
          <w:p w14:paraId="2CEF92D1">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撤销相关荣誉</w:t>
            </w:r>
          </w:p>
        </w:tc>
        <w:tc>
          <w:tcPr>
            <w:tcW w:w="2534" w:type="dxa"/>
            <w:vAlign w:val="center"/>
          </w:tcPr>
          <w:p w14:paraId="7DE015F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撤销相关荣誉、收回证书</w:t>
            </w:r>
          </w:p>
        </w:tc>
        <w:tc>
          <w:tcPr>
            <w:tcW w:w="3969" w:type="dxa"/>
            <w:vAlign w:val="center"/>
          </w:tcPr>
          <w:p w14:paraId="18B8A8B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使用虚假证明文件骗取无偿献血奖励和优待的</w:t>
            </w:r>
            <w:r>
              <w:rPr>
                <w:rFonts w:hint="eastAsia" w:ascii="Times New Roman" w:hAnsi="Times New Roman" w:eastAsia="方正仿宋_GBK" w:cs="Times New Roman"/>
                <w:color w:val="000000" w:themeColor="text1"/>
                <w:szCs w:val="21"/>
                <w14:textFill>
                  <w14:solidFill>
                    <w14:schemeClr w14:val="tx1"/>
                  </w14:solidFill>
                </w14:textFill>
              </w:rPr>
              <w:t>主体</w:t>
            </w:r>
          </w:p>
        </w:tc>
        <w:tc>
          <w:tcPr>
            <w:tcW w:w="2977" w:type="dxa"/>
            <w:vAlign w:val="center"/>
          </w:tcPr>
          <w:p w14:paraId="7FBC523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南京市献血条例</w:t>
            </w:r>
            <w:r>
              <w:rPr>
                <w:rFonts w:hint="eastAsia" w:ascii="Times New Roman" w:hAnsi="Times New Roman" w:eastAsia="方正仿宋_GBK" w:cs="Times New Roman"/>
                <w:color w:val="000000" w:themeColor="text1"/>
                <w:szCs w:val="21"/>
                <w14:textFill>
                  <w14:solidFill>
                    <w14:schemeClr w14:val="tx1"/>
                  </w14:solidFill>
                </w14:textFill>
              </w:rPr>
              <w:t>》第三十六条</w:t>
            </w:r>
          </w:p>
        </w:tc>
        <w:tc>
          <w:tcPr>
            <w:tcW w:w="1701" w:type="dxa"/>
            <w:vAlign w:val="center"/>
          </w:tcPr>
          <w:p w14:paraId="76AA2F3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卫生健康部门和有关部门</w:t>
            </w:r>
          </w:p>
        </w:tc>
      </w:tr>
      <w:tr w14:paraId="4A63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58" w:type="dxa"/>
            <w:vMerge w:val="continue"/>
            <w:vAlign w:val="center"/>
          </w:tcPr>
          <w:p w14:paraId="57A41B2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4DB2236C">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4605BCED">
            <w:pPr>
              <w:adjustRightInd w:val="0"/>
              <w:snapToGrid w:val="0"/>
              <w:spacing w:line="30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经原确认机关核实，报请原批准机关撤销其荣誉称号</w:t>
            </w:r>
          </w:p>
        </w:tc>
        <w:tc>
          <w:tcPr>
            <w:tcW w:w="3969" w:type="dxa"/>
            <w:vAlign w:val="center"/>
          </w:tcPr>
          <w:p w14:paraId="652DB001">
            <w:pPr>
              <w:adjustRightInd w:val="0"/>
              <w:snapToGrid w:val="0"/>
              <w:spacing w:line="30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弄虚作假骗取见义勇为奖励和保护的社会信用主体</w:t>
            </w:r>
          </w:p>
        </w:tc>
        <w:tc>
          <w:tcPr>
            <w:tcW w:w="2977" w:type="dxa"/>
            <w:vAlign w:val="center"/>
          </w:tcPr>
          <w:p w14:paraId="24C6036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《南京市奖励和保护见义勇为人员条例》第四十一条</w:t>
            </w:r>
          </w:p>
        </w:tc>
        <w:tc>
          <w:tcPr>
            <w:tcW w:w="1701" w:type="dxa"/>
            <w:vAlign w:val="center"/>
          </w:tcPr>
          <w:p w14:paraId="5B7CAB7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公安</w:t>
            </w:r>
            <w:r>
              <w:rPr>
                <w:rFonts w:hint="eastAsia" w:ascii="Times New Roman" w:hAnsi="Times New Roman" w:eastAsia="方正仿宋_GBK" w:cs="Times New Roman"/>
                <w:color w:val="000000" w:themeColor="text1"/>
                <w:szCs w:val="21"/>
                <w14:textFill>
                  <w14:solidFill>
                    <w14:schemeClr w14:val="tx1"/>
                  </w14:solidFill>
                </w14:textFill>
              </w:rPr>
              <w:t>机关和有关部门</w:t>
            </w:r>
          </w:p>
        </w:tc>
      </w:tr>
      <w:tr w14:paraId="0DE1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8" w:type="dxa"/>
            <w:vMerge w:val="continue"/>
            <w:vAlign w:val="center"/>
          </w:tcPr>
          <w:p w14:paraId="6AE9B39D">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229C6D32">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6615E50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撤销立项，撤销荣誉称号</w:t>
            </w:r>
          </w:p>
        </w:tc>
        <w:tc>
          <w:tcPr>
            <w:tcW w:w="3969" w:type="dxa"/>
            <w:vAlign w:val="center"/>
          </w:tcPr>
          <w:p w14:paraId="70FF99B9">
            <w:pPr>
              <w:adjustRightInd w:val="0"/>
              <w:snapToGrid w:val="0"/>
              <w:spacing w:line="30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在技术转移活动中，采取欺骗手段，骗取项目、补贴、奖励和荣誉称号、诈骗钱财、非法牟利的</w:t>
            </w:r>
            <w:r>
              <w:rPr>
                <w:rFonts w:hint="eastAsia" w:ascii="Times New Roman" w:hAnsi="Times New Roman" w:eastAsia="方正仿宋_GBK" w:cs="Times New Roman"/>
                <w:color w:val="000000" w:themeColor="text1"/>
                <w:szCs w:val="21"/>
                <w14:textFill>
                  <w14:solidFill>
                    <w14:schemeClr w14:val="tx1"/>
                  </w14:solidFill>
                </w14:textFill>
              </w:rPr>
              <w:t>主体</w:t>
            </w:r>
          </w:p>
        </w:tc>
        <w:tc>
          <w:tcPr>
            <w:tcW w:w="2977" w:type="dxa"/>
            <w:vAlign w:val="center"/>
          </w:tcPr>
          <w:p w14:paraId="18B9552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南京市促进技术转移条例</w:t>
            </w:r>
            <w:r>
              <w:rPr>
                <w:rFonts w:hint="eastAsia" w:ascii="Times New Roman" w:hAnsi="Times New Roman" w:eastAsia="方正仿宋_GBK" w:cs="Times New Roman"/>
                <w:color w:val="000000" w:themeColor="text1"/>
                <w:szCs w:val="21"/>
                <w14:textFill>
                  <w14:solidFill>
                    <w14:schemeClr w14:val="tx1"/>
                  </w14:solidFill>
                </w14:textFill>
              </w:rPr>
              <w:t>》</w:t>
            </w:r>
          </w:p>
          <w:p w14:paraId="1904984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第五十七条</w:t>
            </w:r>
          </w:p>
        </w:tc>
        <w:tc>
          <w:tcPr>
            <w:tcW w:w="1701" w:type="dxa"/>
            <w:vAlign w:val="center"/>
          </w:tcPr>
          <w:p w14:paraId="6051BC5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科</w:t>
            </w:r>
            <w:r>
              <w:rPr>
                <w:rFonts w:hint="eastAsia" w:ascii="Times New Roman" w:hAnsi="Times New Roman" w:eastAsia="方正仿宋_GBK" w:cs="Times New Roman"/>
                <w:color w:val="000000" w:themeColor="text1"/>
                <w:szCs w:val="21"/>
                <w:lang w:eastAsia="zh-CN"/>
                <w14:textFill>
                  <w14:solidFill>
                    <w14:schemeClr w14:val="tx1"/>
                  </w14:solidFill>
                </w14:textFill>
              </w:rPr>
              <w:t>学</w:t>
            </w:r>
            <w:bookmarkStart w:id="0" w:name="_GoBack"/>
            <w:bookmarkEnd w:id="0"/>
            <w:r>
              <w:rPr>
                <w:rFonts w:ascii="Times New Roman" w:hAnsi="Times New Roman" w:eastAsia="方正仿宋_GBK" w:cs="Times New Roman"/>
                <w:kern w:val="0"/>
                <w:szCs w:val="21"/>
              </w:rPr>
              <w:t>技术部门和有关部门</w:t>
            </w:r>
          </w:p>
        </w:tc>
      </w:tr>
    </w:tbl>
    <w:p w14:paraId="3D6CFB2C">
      <w:pPr>
        <w:widowControl/>
        <w:jc w:val="left"/>
        <w:rPr>
          <w:rFonts w:ascii="Times New Roman" w:hAnsi="Times New Roman" w:eastAsia="仿宋" w:cs="Times New Roman"/>
          <w:sz w:val="18"/>
          <w:szCs w:val="18"/>
        </w:rPr>
      </w:pPr>
    </w:p>
    <w:sectPr>
      <w:pgSz w:w="16838" w:h="11906" w:orient="landscape"/>
      <w:pgMar w:top="1247" w:right="1440" w:bottom="124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9497F9-6D15-4416-B1A6-F709FF50C0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embedRegular r:id="rId2" w:fontKey="{C71EA5D4-63BE-44B3-A477-407286558A2A}"/>
  </w:font>
  <w:font w:name="方正小标宋_GBK">
    <w:panose1 w:val="03000509000000000000"/>
    <w:charset w:val="86"/>
    <w:family w:val="auto"/>
    <w:pitch w:val="default"/>
    <w:sig w:usb0="00000001" w:usb1="080E0000" w:usb2="00000000" w:usb3="00000000" w:csb0="00040000" w:csb1="00000000"/>
    <w:embedRegular r:id="rId3" w:fontKey="{02D3596C-4B97-409C-A5C6-8C882B93DDDA}"/>
  </w:font>
  <w:font w:name="Times">
    <w:altName w:val="Times New Roman"/>
    <w:panose1 w:val="00000500000000020000"/>
    <w:charset w:val="00"/>
    <w:family w:val="auto"/>
    <w:pitch w:val="default"/>
    <w:sig w:usb0="00000000" w:usb1="00000000" w:usb2="00000000" w:usb3="00000000" w:csb0="0000019F" w:csb1="00000000"/>
    <w:embedRegular r:id="rId4" w:fontKey="{9A24B6FD-39BC-4308-9C7F-FA4DDB911852}"/>
  </w:font>
  <w:font w:name="仿宋">
    <w:panose1 w:val="02010609060101010101"/>
    <w:charset w:val="86"/>
    <w:family w:val="modern"/>
    <w:pitch w:val="default"/>
    <w:sig w:usb0="800002BF" w:usb1="38CF7CFA" w:usb2="00000016" w:usb3="00000000" w:csb0="00040001" w:csb1="00000000"/>
    <w:embedRegular r:id="rId5" w:fontKey="{7BB5BBDB-8447-46E8-B220-A969E579014B}"/>
  </w:font>
  <w:font w:name="方正楷体_GBK">
    <w:panose1 w:val="03000509000000000000"/>
    <w:charset w:val="86"/>
    <w:family w:val="auto"/>
    <w:pitch w:val="default"/>
    <w:sig w:usb0="00000001" w:usb1="080E0000" w:usb2="00000000" w:usb3="00000000" w:csb0="00040000" w:csb1="00000000"/>
    <w:embedRegular r:id="rId6" w:fontKey="{4DDB5872-4919-455B-89A6-94636BC87C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890413560"/>
    </w:sdtPr>
    <w:sdtEndPr>
      <w:rPr>
        <w:rStyle w:val="9"/>
      </w:rPr>
    </w:sdtEndPr>
    <w:sdtContent>
      <w:p w14:paraId="1970A828">
        <w:pPr>
          <w:pStyle w:val="2"/>
          <w:framePr w:wrap="auto" w:vAnchor="text" w:hAnchor="margin" w:xAlign="center" w:y="1"/>
          <w:rPr>
            <w:rStyle w:val="9"/>
          </w:rPr>
        </w:pPr>
        <w:r>
          <w:rPr>
            <w:rStyle w:val="9"/>
            <w:rFonts w:ascii="Times" w:hAnsi="Times"/>
            <w:sz w:val="21"/>
            <w:szCs w:val="21"/>
          </w:rPr>
          <w:fldChar w:fldCharType="begin"/>
        </w:r>
        <w:r>
          <w:rPr>
            <w:rStyle w:val="9"/>
            <w:rFonts w:ascii="Times" w:hAnsi="Times"/>
            <w:sz w:val="21"/>
            <w:szCs w:val="21"/>
          </w:rPr>
          <w:instrText xml:space="preserve"> PAGE </w:instrText>
        </w:r>
        <w:r>
          <w:rPr>
            <w:rStyle w:val="9"/>
            <w:rFonts w:ascii="Times" w:hAnsi="Times"/>
            <w:sz w:val="21"/>
            <w:szCs w:val="21"/>
          </w:rPr>
          <w:fldChar w:fldCharType="separate"/>
        </w:r>
        <w:r>
          <w:rPr>
            <w:rStyle w:val="9"/>
            <w:rFonts w:ascii="Times" w:hAnsi="Times"/>
            <w:sz w:val="21"/>
            <w:szCs w:val="21"/>
          </w:rPr>
          <w:t>- 1 -</w:t>
        </w:r>
        <w:r>
          <w:rPr>
            <w:rStyle w:val="9"/>
            <w:rFonts w:ascii="Times" w:hAnsi="Times"/>
            <w:sz w:val="21"/>
            <w:szCs w:val="21"/>
          </w:rPr>
          <w:fldChar w:fldCharType="end"/>
        </w:r>
      </w:p>
    </w:sdtContent>
  </w:sdt>
  <w:p w14:paraId="17E724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384524978"/>
    </w:sdtPr>
    <w:sdtEndPr>
      <w:rPr>
        <w:rStyle w:val="9"/>
      </w:rPr>
    </w:sdtEndPr>
    <w:sdtContent>
      <w:p w14:paraId="1BC44464">
        <w:pPr>
          <w:pStyle w:val="2"/>
          <w:framePr w:wrap="auto"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- 1 -</w:t>
        </w:r>
        <w:r>
          <w:rPr>
            <w:rStyle w:val="9"/>
          </w:rPr>
          <w:fldChar w:fldCharType="end"/>
        </w:r>
      </w:p>
    </w:sdtContent>
  </w:sdt>
  <w:p w14:paraId="1610C0E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OWYxNTIzODM4MTBjNGM5YjkwN2Q4MDQ2NzJlYmEifQ=="/>
  </w:docVars>
  <w:rsids>
    <w:rsidRoot w:val="00735EBA"/>
    <w:rsid w:val="00003D71"/>
    <w:rsid w:val="00016901"/>
    <w:rsid w:val="00056FCF"/>
    <w:rsid w:val="00085F72"/>
    <w:rsid w:val="000874A4"/>
    <w:rsid w:val="0009383F"/>
    <w:rsid w:val="00096F18"/>
    <w:rsid w:val="000A0B46"/>
    <w:rsid w:val="000C2A26"/>
    <w:rsid w:val="000D4CD6"/>
    <w:rsid w:val="000D7844"/>
    <w:rsid w:val="000E5578"/>
    <w:rsid w:val="000F2A2E"/>
    <w:rsid w:val="000F6ECC"/>
    <w:rsid w:val="00100415"/>
    <w:rsid w:val="001005B6"/>
    <w:rsid w:val="00112229"/>
    <w:rsid w:val="00113833"/>
    <w:rsid w:val="00122251"/>
    <w:rsid w:val="00131593"/>
    <w:rsid w:val="001337AC"/>
    <w:rsid w:val="0013550E"/>
    <w:rsid w:val="001414AD"/>
    <w:rsid w:val="001444A3"/>
    <w:rsid w:val="0015331F"/>
    <w:rsid w:val="00153BC5"/>
    <w:rsid w:val="00154296"/>
    <w:rsid w:val="001600BC"/>
    <w:rsid w:val="001733E8"/>
    <w:rsid w:val="00181A32"/>
    <w:rsid w:val="00183338"/>
    <w:rsid w:val="00197777"/>
    <w:rsid w:val="001A1208"/>
    <w:rsid w:val="001D066B"/>
    <w:rsid w:val="001D4096"/>
    <w:rsid w:val="001F4D53"/>
    <w:rsid w:val="00213DA6"/>
    <w:rsid w:val="0022328A"/>
    <w:rsid w:val="00230645"/>
    <w:rsid w:val="002308E0"/>
    <w:rsid w:val="0023540D"/>
    <w:rsid w:val="0024244B"/>
    <w:rsid w:val="00250112"/>
    <w:rsid w:val="00261B33"/>
    <w:rsid w:val="00267E28"/>
    <w:rsid w:val="00272055"/>
    <w:rsid w:val="0029251E"/>
    <w:rsid w:val="002C1ADD"/>
    <w:rsid w:val="002D4CDE"/>
    <w:rsid w:val="002D667A"/>
    <w:rsid w:val="002E5AA8"/>
    <w:rsid w:val="002E7B50"/>
    <w:rsid w:val="00337C55"/>
    <w:rsid w:val="003429F0"/>
    <w:rsid w:val="00354858"/>
    <w:rsid w:val="00364015"/>
    <w:rsid w:val="00364F7E"/>
    <w:rsid w:val="00380B9B"/>
    <w:rsid w:val="00394916"/>
    <w:rsid w:val="003964D2"/>
    <w:rsid w:val="00396DFE"/>
    <w:rsid w:val="003A4A2E"/>
    <w:rsid w:val="003E7F41"/>
    <w:rsid w:val="0040236E"/>
    <w:rsid w:val="004239EA"/>
    <w:rsid w:val="004323C1"/>
    <w:rsid w:val="00455CD1"/>
    <w:rsid w:val="00461D5D"/>
    <w:rsid w:val="00473CF3"/>
    <w:rsid w:val="00490F88"/>
    <w:rsid w:val="0049412D"/>
    <w:rsid w:val="004976C5"/>
    <w:rsid w:val="004A143D"/>
    <w:rsid w:val="004A1A1C"/>
    <w:rsid w:val="004A5338"/>
    <w:rsid w:val="004E420E"/>
    <w:rsid w:val="004F433F"/>
    <w:rsid w:val="00505F6E"/>
    <w:rsid w:val="005138A0"/>
    <w:rsid w:val="0053382B"/>
    <w:rsid w:val="00540056"/>
    <w:rsid w:val="00543749"/>
    <w:rsid w:val="00551DE0"/>
    <w:rsid w:val="005A25D9"/>
    <w:rsid w:val="005B71F2"/>
    <w:rsid w:val="005B7DE9"/>
    <w:rsid w:val="005D4D35"/>
    <w:rsid w:val="005D7483"/>
    <w:rsid w:val="005E26E4"/>
    <w:rsid w:val="006045CB"/>
    <w:rsid w:val="00612F63"/>
    <w:rsid w:val="0063028D"/>
    <w:rsid w:val="00631F7C"/>
    <w:rsid w:val="00644D61"/>
    <w:rsid w:val="00646DCF"/>
    <w:rsid w:val="0066343D"/>
    <w:rsid w:val="0067024B"/>
    <w:rsid w:val="006910E8"/>
    <w:rsid w:val="006948DB"/>
    <w:rsid w:val="006A5A53"/>
    <w:rsid w:val="006B0417"/>
    <w:rsid w:val="006C5AAB"/>
    <w:rsid w:val="006D5DEA"/>
    <w:rsid w:val="006F14A9"/>
    <w:rsid w:val="006F2E61"/>
    <w:rsid w:val="006F635C"/>
    <w:rsid w:val="00705109"/>
    <w:rsid w:val="0070752B"/>
    <w:rsid w:val="00715B96"/>
    <w:rsid w:val="007323FD"/>
    <w:rsid w:val="007327D9"/>
    <w:rsid w:val="00735EBA"/>
    <w:rsid w:val="007400AA"/>
    <w:rsid w:val="00740BCA"/>
    <w:rsid w:val="0074738C"/>
    <w:rsid w:val="00752A34"/>
    <w:rsid w:val="00763992"/>
    <w:rsid w:val="00770471"/>
    <w:rsid w:val="007735D9"/>
    <w:rsid w:val="00781C67"/>
    <w:rsid w:val="00781E5B"/>
    <w:rsid w:val="00787520"/>
    <w:rsid w:val="00790556"/>
    <w:rsid w:val="00796775"/>
    <w:rsid w:val="00796A05"/>
    <w:rsid w:val="007A12F0"/>
    <w:rsid w:val="007A34CA"/>
    <w:rsid w:val="007A70B5"/>
    <w:rsid w:val="007B0DD2"/>
    <w:rsid w:val="007E307E"/>
    <w:rsid w:val="007E5026"/>
    <w:rsid w:val="007F1EE2"/>
    <w:rsid w:val="007F789C"/>
    <w:rsid w:val="007F7F42"/>
    <w:rsid w:val="0080374F"/>
    <w:rsid w:val="00832AE2"/>
    <w:rsid w:val="0083566B"/>
    <w:rsid w:val="0083641C"/>
    <w:rsid w:val="00842804"/>
    <w:rsid w:val="00845EE4"/>
    <w:rsid w:val="00853A8C"/>
    <w:rsid w:val="00867E7F"/>
    <w:rsid w:val="00870B62"/>
    <w:rsid w:val="00870CF1"/>
    <w:rsid w:val="00877F68"/>
    <w:rsid w:val="00883686"/>
    <w:rsid w:val="008900DD"/>
    <w:rsid w:val="008A456A"/>
    <w:rsid w:val="008B4FF9"/>
    <w:rsid w:val="008E7590"/>
    <w:rsid w:val="00905712"/>
    <w:rsid w:val="009069D4"/>
    <w:rsid w:val="00915FAC"/>
    <w:rsid w:val="00945B61"/>
    <w:rsid w:val="00947FCD"/>
    <w:rsid w:val="009654BA"/>
    <w:rsid w:val="00973477"/>
    <w:rsid w:val="00980D1B"/>
    <w:rsid w:val="00980E27"/>
    <w:rsid w:val="009A0FB9"/>
    <w:rsid w:val="009B2243"/>
    <w:rsid w:val="009B528D"/>
    <w:rsid w:val="009B7B16"/>
    <w:rsid w:val="009D55AE"/>
    <w:rsid w:val="009E0C49"/>
    <w:rsid w:val="009E7D6F"/>
    <w:rsid w:val="009E7F3F"/>
    <w:rsid w:val="009F2024"/>
    <w:rsid w:val="00A33E2D"/>
    <w:rsid w:val="00A51657"/>
    <w:rsid w:val="00A53539"/>
    <w:rsid w:val="00A80596"/>
    <w:rsid w:val="00A83612"/>
    <w:rsid w:val="00AA4A55"/>
    <w:rsid w:val="00AB648F"/>
    <w:rsid w:val="00AC7EB0"/>
    <w:rsid w:val="00AD28F7"/>
    <w:rsid w:val="00AF286C"/>
    <w:rsid w:val="00AF3598"/>
    <w:rsid w:val="00AF3F5E"/>
    <w:rsid w:val="00B03FEA"/>
    <w:rsid w:val="00B11643"/>
    <w:rsid w:val="00B1443D"/>
    <w:rsid w:val="00B43BB1"/>
    <w:rsid w:val="00B43F80"/>
    <w:rsid w:val="00B46072"/>
    <w:rsid w:val="00B579BC"/>
    <w:rsid w:val="00B64C76"/>
    <w:rsid w:val="00B67872"/>
    <w:rsid w:val="00B7076A"/>
    <w:rsid w:val="00B7147C"/>
    <w:rsid w:val="00B71BA5"/>
    <w:rsid w:val="00B74DCB"/>
    <w:rsid w:val="00B82CAC"/>
    <w:rsid w:val="00B97BCE"/>
    <w:rsid w:val="00BA09A6"/>
    <w:rsid w:val="00BA2A8D"/>
    <w:rsid w:val="00BB7BBB"/>
    <w:rsid w:val="00BC1D22"/>
    <w:rsid w:val="00BD578D"/>
    <w:rsid w:val="00BF20EF"/>
    <w:rsid w:val="00C06BD6"/>
    <w:rsid w:val="00C246E8"/>
    <w:rsid w:val="00C30786"/>
    <w:rsid w:val="00C33159"/>
    <w:rsid w:val="00C47797"/>
    <w:rsid w:val="00C52B48"/>
    <w:rsid w:val="00C76A1B"/>
    <w:rsid w:val="00C80315"/>
    <w:rsid w:val="00C919F6"/>
    <w:rsid w:val="00C96097"/>
    <w:rsid w:val="00CA50F8"/>
    <w:rsid w:val="00CA6603"/>
    <w:rsid w:val="00CB617D"/>
    <w:rsid w:val="00CC5B90"/>
    <w:rsid w:val="00CC65CD"/>
    <w:rsid w:val="00CD13B3"/>
    <w:rsid w:val="00CD2790"/>
    <w:rsid w:val="00CE2256"/>
    <w:rsid w:val="00CE7059"/>
    <w:rsid w:val="00CF581C"/>
    <w:rsid w:val="00CF7853"/>
    <w:rsid w:val="00D00240"/>
    <w:rsid w:val="00D04897"/>
    <w:rsid w:val="00D13270"/>
    <w:rsid w:val="00D138D1"/>
    <w:rsid w:val="00D37118"/>
    <w:rsid w:val="00D7715D"/>
    <w:rsid w:val="00D93EEA"/>
    <w:rsid w:val="00DA2546"/>
    <w:rsid w:val="00DA2D59"/>
    <w:rsid w:val="00DB3549"/>
    <w:rsid w:val="00DB7837"/>
    <w:rsid w:val="00DC7EEE"/>
    <w:rsid w:val="00DD3448"/>
    <w:rsid w:val="00DD5D31"/>
    <w:rsid w:val="00DD7A76"/>
    <w:rsid w:val="00DE7B7F"/>
    <w:rsid w:val="00DF3FA5"/>
    <w:rsid w:val="00E10063"/>
    <w:rsid w:val="00E17565"/>
    <w:rsid w:val="00E231B8"/>
    <w:rsid w:val="00E2470F"/>
    <w:rsid w:val="00E41149"/>
    <w:rsid w:val="00E7558B"/>
    <w:rsid w:val="00E81B44"/>
    <w:rsid w:val="00E81E47"/>
    <w:rsid w:val="00E91AD8"/>
    <w:rsid w:val="00EA25C4"/>
    <w:rsid w:val="00EC278E"/>
    <w:rsid w:val="00ED3D83"/>
    <w:rsid w:val="00F07376"/>
    <w:rsid w:val="00F074D6"/>
    <w:rsid w:val="00F15FD4"/>
    <w:rsid w:val="00F24631"/>
    <w:rsid w:val="00F32119"/>
    <w:rsid w:val="00F43922"/>
    <w:rsid w:val="00F47DD0"/>
    <w:rsid w:val="00F50812"/>
    <w:rsid w:val="00F55EF8"/>
    <w:rsid w:val="00F715D9"/>
    <w:rsid w:val="00F774A4"/>
    <w:rsid w:val="00F82127"/>
    <w:rsid w:val="00F86BFD"/>
    <w:rsid w:val="00F94D9F"/>
    <w:rsid w:val="00FA3F4E"/>
    <w:rsid w:val="00FA6098"/>
    <w:rsid w:val="00FA6D3B"/>
    <w:rsid w:val="00FB0971"/>
    <w:rsid w:val="00FE5765"/>
    <w:rsid w:val="016802C4"/>
    <w:rsid w:val="03D03A16"/>
    <w:rsid w:val="046912A4"/>
    <w:rsid w:val="04C861C6"/>
    <w:rsid w:val="05FB54F2"/>
    <w:rsid w:val="06E934BF"/>
    <w:rsid w:val="0719159E"/>
    <w:rsid w:val="09CF031F"/>
    <w:rsid w:val="0BB84DE3"/>
    <w:rsid w:val="0CD71B83"/>
    <w:rsid w:val="0D15073F"/>
    <w:rsid w:val="0DED035D"/>
    <w:rsid w:val="111C40FA"/>
    <w:rsid w:val="11420616"/>
    <w:rsid w:val="11CA14CD"/>
    <w:rsid w:val="124F61AD"/>
    <w:rsid w:val="12D07D91"/>
    <w:rsid w:val="1324023C"/>
    <w:rsid w:val="132C54FA"/>
    <w:rsid w:val="17FFC813"/>
    <w:rsid w:val="1A0A7641"/>
    <w:rsid w:val="1C3C1AE6"/>
    <w:rsid w:val="202510B4"/>
    <w:rsid w:val="2117586A"/>
    <w:rsid w:val="218467FC"/>
    <w:rsid w:val="2197448E"/>
    <w:rsid w:val="233C4D5E"/>
    <w:rsid w:val="27B47655"/>
    <w:rsid w:val="293C28FF"/>
    <w:rsid w:val="2A250919"/>
    <w:rsid w:val="2C02412C"/>
    <w:rsid w:val="2C0A468F"/>
    <w:rsid w:val="2D2A5C60"/>
    <w:rsid w:val="2F0078E4"/>
    <w:rsid w:val="2F6D385E"/>
    <w:rsid w:val="2FFA49D2"/>
    <w:rsid w:val="30556709"/>
    <w:rsid w:val="32535C41"/>
    <w:rsid w:val="34133A0F"/>
    <w:rsid w:val="34997504"/>
    <w:rsid w:val="36D54E43"/>
    <w:rsid w:val="3716782B"/>
    <w:rsid w:val="378761EC"/>
    <w:rsid w:val="3A1C6848"/>
    <w:rsid w:val="3A5C0C18"/>
    <w:rsid w:val="3AE71B1E"/>
    <w:rsid w:val="3C8D0DD9"/>
    <w:rsid w:val="3E1564B1"/>
    <w:rsid w:val="41095406"/>
    <w:rsid w:val="41361757"/>
    <w:rsid w:val="44687F9E"/>
    <w:rsid w:val="46AB4B1C"/>
    <w:rsid w:val="47AB6CE2"/>
    <w:rsid w:val="48925449"/>
    <w:rsid w:val="49353932"/>
    <w:rsid w:val="4AF82443"/>
    <w:rsid w:val="4B321F7F"/>
    <w:rsid w:val="4DD50B07"/>
    <w:rsid w:val="4E0D0E11"/>
    <w:rsid w:val="4FCC2807"/>
    <w:rsid w:val="4FDE4F00"/>
    <w:rsid w:val="515C314B"/>
    <w:rsid w:val="54273868"/>
    <w:rsid w:val="55DC11F2"/>
    <w:rsid w:val="56993A5A"/>
    <w:rsid w:val="56D6480E"/>
    <w:rsid w:val="5701626A"/>
    <w:rsid w:val="57160D68"/>
    <w:rsid w:val="58934F4B"/>
    <w:rsid w:val="5D057C12"/>
    <w:rsid w:val="5D592D96"/>
    <w:rsid w:val="5EF77FE6"/>
    <w:rsid w:val="6086203F"/>
    <w:rsid w:val="62673849"/>
    <w:rsid w:val="633F0B1B"/>
    <w:rsid w:val="64FF07C5"/>
    <w:rsid w:val="65FC4014"/>
    <w:rsid w:val="662E139C"/>
    <w:rsid w:val="666845B1"/>
    <w:rsid w:val="689F034B"/>
    <w:rsid w:val="69246A19"/>
    <w:rsid w:val="69CA2AA9"/>
    <w:rsid w:val="6ADB496F"/>
    <w:rsid w:val="6B442AC9"/>
    <w:rsid w:val="6BAD25DE"/>
    <w:rsid w:val="6C99547D"/>
    <w:rsid w:val="6CA67BE1"/>
    <w:rsid w:val="6CFB5921"/>
    <w:rsid w:val="6D237716"/>
    <w:rsid w:val="702B3702"/>
    <w:rsid w:val="708C17E3"/>
    <w:rsid w:val="710B241E"/>
    <w:rsid w:val="71123A97"/>
    <w:rsid w:val="7329331A"/>
    <w:rsid w:val="74D472AA"/>
    <w:rsid w:val="7517285B"/>
    <w:rsid w:val="754A3D6D"/>
    <w:rsid w:val="784F57EC"/>
    <w:rsid w:val="78870D26"/>
    <w:rsid w:val="789C633C"/>
    <w:rsid w:val="78A2491D"/>
    <w:rsid w:val="79FA5447"/>
    <w:rsid w:val="7AB91427"/>
    <w:rsid w:val="7C503858"/>
    <w:rsid w:val="7D1666BD"/>
    <w:rsid w:val="7E876D1A"/>
    <w:rsid w:val="7F1669E1"/>
    <w:rsid w:val="7F690264"/>
    <w:rsid w:val="7FCD4E13"/>
    <w:rsid w:val="B5F74801"/>
    <w:rsid w:val="FF9EB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customStyle="1" w:styleId="10">
    <w:name w:val="HTML 预设格式 字符"/>
    <w:basedOn w:val="8"/>
    <w:link w:val="4"/>
    <w:semiHidden/>
    <w:qFormat/>
    <w:uiPriority w:val="99"/>
    <w:rPr>
      <w:rFonts w:ascii="宋体" w:hAnsi="宋体" w:eastAsia="宋体" w:cs="宋体"/>
      <w:kern w:val="0"/>
      <w:sz w:val="24"/>
    </w:rPr>
  </w:style>
  <w:style w:type="character" w:customStyle="1" w:styleId="11">
    <w:name w:val="页眉 字符"/>
    <w:basedOn w:val="8"/>
    <w:link w:val="3"/>
    <w:qFormat/>
    <w:uiPriority w:val="99"/>
    <w:rPr>
      <w:sz w:val="18"/>
      <w:szCs w:val="18"/>
    </w:rPr>
  </w:style>
  <w:style w:type="character" w:customStyle="1" w:styleId="12">
    <w:name w:val="页脚 字符"/>
    <w:basedOn w:val="8"/>
    <w:link w:val="2"/>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6">
    <w:name w:val="修订4"/>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1873</Words>
  <Characters>1898</Characters>
  <Lines>24</Lines>
  <Paragraphs>6</Paragraphs>
  <TotalTime>0</TotalTime>
  <ScaleCrop>false</ScaleCrop>
  <LinksUpToDate>false</LinksUpToDate>
  <CharactersWithSpaces>1900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2025-09-04T01:49:00Z</dcterms:created>
  <dc:creator>candy198883@126.com</dc:creator>
  <cp:lastModifiedBy>SPRING</cp:lastModifiedBy>
  <cp:lastPrinted>2025-09-04T01:49:00Z</cp:lastPrinted>
  <dcterms:modified xsi:type="dcterms:W3CDTF">2026-02-10T02:28:52Z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AB9EB142802242A98E8444735A66338C_13</vt:lpwstr>
  </property>
  <property fmtid="{D5CDD505-2E9C-101B-9397-08002B2CF9AE}" pid="4" name="KSOTemplateDocerSaveRecord">
    <vt:lpwstr>eyJoZGlkIjoiMzMxZGUxZGI3NDYwYjZhMTEyYmE2YjAyNWRmZmRjNDAiLCJ1c2VySWQiOiIyNDA5ODg4NTkifQ==</vt:lpwstr>
  </property>
</Properties>
</file>