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047" w:rsidRDefault="005A5047" w:rsidP="005A5047">
      <w:pPr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附件</w:t>
      </w:r>
    </w:p>
    <w:p w:rsidR="005A5047" w:rsidRDefault="005A5047" w:rsidP="005A5047">
      <w:pPr>
        <w:rPr>
          <w:rFonts w:ascii="黑体" w:eastAsia="黑体" w:hAnsi="黑体" w:cs="黑体" w:hint="eastAsia"/>
        </w:rPr>
      </w:pPr>
    </w:p>
    <w:p w:rsidR="005A5047" w:rsidRDefault="005A5047" w:rsidP="005A5047">
      <w:pPr>
        <w:tabs>
          <w:tab w:val="left" w:pos="6080"/>
        </w:tabs>
        <w:overflowPunct w:val="0"/>
        <w:spacing w:line="580" w:lineRule="exact"/>
        <w:contextualSpacing/>
        <w:jc w:val="center"/>
        <w:rPr>
          <w:rFonts w:eastAsia="方正小标宋_GBK"/>
          <w:bCs/>
          <w:color w:val="000000"/>
          <w:sz w:val="44"/>
          <w:szCs w:val="44"/>
        </w:rPr>
      </w:pPr>
      <w:r>
        <w:rPr>
          <w:rFonts w:eastAsia="方正小标宋_GBK"/>
          <w:bCs/>
          <w:color w:val="000000"/>
          <w:sz w:val="44"/>
          <w:szCs w:val="44"/>
        </w:rPr>
        <w:t>市级总部企业</w:t>
      </w:r>
      <w:r>
        <w:rPr>
          <w:rFonts w:eastAsia="方正小标宋_GBK" w:hint="eastAsia"/>
          <w:bCs/>
          <w:color w:val="000000"/>
          <w:sz w:val="44"/>
          <w:szCs w:val="44"/>
        </w:rPr>
        <w:t>等级评定</w:t>
      </w:r>
      <w:r>
        <w:rPr>
          <w:rFonts w:eastAsia="方正小标宋_GBK"/>
          <w:bCs/>
          <w:color w:val="000000"/>
          <w:sz w:val="44"/>
          <w:szCs w:val="44"/>
        </w:rPr>
        <w:t>标准</w:t>
      </w:r>
    </w:p>
    <w:p w:rsidR="005A5047" w:rsidRDefault="005A5047" w:rsidP="005A5047">
      <w:pPr>
        <w:tabs>
          <w:tab w:val="left" w:pos="6080"/>
        </w:tabs>
        <w:overflowPunct w:val="0"/>
        <w:spacing w:line="580" w:lineRule="exact"/>
        <w:contextualSpacing/>
        <w:jc w:val="center"/>
        <w:rPr>
          <w:rFonts w:eastAsia="方正小标宋_GBK" w:hint="eastAsia"/>
          <w:bCs/>
          <w:color w:val="000000"/>
          <w:sz w:val="44"/>
          <w:szCs w:val="44"/>
        </w:rPr>
      </w:pPr>
    </w:p>
    <w:p w:rsidR="005A5047" w:rsidRDefault="005A5047" w:rsidP="005A5047">
      <w:pPr>
        <w:tabs>
          <w:tab w:val="left" w:pos="6080"/>
        </w:tabs>
        <w:overflowPunct w:val="0"/>
        <w:spacing w:line="580" w:lineRule="exact"/>
        <w:contextualSpacing/>
        <w:jc w:val="center"/>
        <w:rPr>
          <w:rFonts w:eastAsia="方正小标宋_GBK"/>
          <w:bCs/>
          <w:color w:val="000000"/>
          <w:sz w:val="44"/>
          <w:szCs w:val="44"/>
        </w:rPr>
      </w:pPr>
    </w:p>
    <w:tbl>
      <w:tblPr>
        <w:tblW w:w="92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/>
      </w:tblPr>
      <w:tblGrid>
        <w:gridCol w:w="492"/>
        <w:gridCol w:w="923"/>
        <w:gridCol w:w="6101"/>
        <w:gridCol w:w="1701"/>
      </w:tblGrid>
      <w:tr w:rsidR="005A5047" w:rsidTr="00774B95">
        <w:trPr>
          <w:trHeight w:val="620"/>
          <w:jc w:val="center"/>
        </w:trPr>
        <w:tc>
          <w:tcPr>
            <w:tcW w:w="1415" w:type="dxa"/>
            <w:gridSpan w:val="2"/>
            <w:vAlign w:val="center"/>
          </w:tcPr>
          <w:p w:rsidR="005A5047" w:rsidRDefault="005A5047" w:rsidP="00774B95">
            <w:pPr>
              <w:overflowPunct w:val="0"/>
              <w:spacing w:line="34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项</w:t>
            </w:r>
            <w:r>
              <w:rPr>
                <w:rFonts w:eastAsia="黑体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黑体"/>
                <w:color w:val="000000"/>
                <w:sz w:val="28"/>
                <w:szCs w:val="28"/>
              </w:rPr>
              <w:t>目</w:t>
            </w:r>
          </w:p>
        </w:tc>
        <w:tc>
          <w:tcPr>
            <w:tcW w:w="6101" w:type="dxa"/>
            <w:vAlign w:val="center"/>
          </w:tcPr>
          <w:p w:rsidR="005A5047" w:rsidRDefault="005A5047" w:rsidP="00774B95">
            <w:pPr>
              <w:overflowPunct w:val="0"/>
              <w:spacing w:line="34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评价指标</w:t>
            </w:r>
          </w:p>
        </w:tc>
        <w:tc>
          <w:tcPr>
            <w:tcW w:w="1701" w:type="dxa"/>
            <w:vAlign w:val="center"/>
          </w:tcPr>
          <w:p w:rsidR="005A5047" w:rsidRDefault="005A5047" w:rsidP="00774B95">
            <w:pPr>
              <w:overflowPunct w:val="0"/>
              <w:spacing w:line="34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黑体"/>
                <w:color w:val="000000"/>
                <w:sz w:val="28"/>
                <w:szCs w:val="28"/>
              </w:rPr>
              <w:t>赋分权重</w:t>
            </w:r>
            <w:proofErr w:type="gramEnd"/>
          </w:p>
        </w:tc>
      </w:tr>
      <w:tr w:rsidR="005A5047" w:rsidTr="00774B95">
        <w:trPr>
          <w:trHeight w:val="780"/>
          <w:jc w:val="center"/>
        </w:trPr>
        <w:tc>
          <w:tcPr>
            <w:tcW w:w="492" w:type="dxa"/>
            <w:vMerge w:val="restart"/>
            <w:vAlign w:val="center"/>
          </w:tcPr>
          <w:p w:rsidR="005A5047" w:rsidRDefault="005A5047" w:rsidP="00774B95">
            <w:pPr>
              <w:overflowPunct w:val="0"/>
              <w:spacing w:line="3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基本分</w:t>
            </w:r>
          </w:p>
        </w:tc>
        <w:tc>
          <w:tcPr>
            <w:tcW w:w="923" w:type="dxa"/>
            <w:vMerge w:val="restart"/>
            <w:vAlign w:val="center"/>
          </w:tcPr>
          <w:p w:rsidR="005A5047" w:rsidRDefault="005A5047" w:rsidP="00774B95">
            <w:pPr>
              <w:overflowPunct w:val="0"/>
              <w:spacing w:line="3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90</w:t>
            </w:r>
            <w:r>
              <w:rPr>
                <w:rFonts w:eastAsia="仿宋_GB2312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6101" w:type="dxa"/>
            <w:vAlign w:val="center"/>
          </w:tcPr>
          <w:p w:rsidR="005A5047" w:rsidRDefault="005A5047" w:rsidP="00774B95">
            <w:pPr>
              <w:overflowPunct w:val="0"/>
              <w:spacing w:line="34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上年度企业在宁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营业收入</w:t>
            </w:r>
            <w:r>
              <w:rPr>
                <w:rFonts w:eastAsia="仿宋_GB2312"/>
                <w:color w:val="000000"/>
                <w:sz w:val="28"/>
                <w:szCs w:val="28"/>
              </w:rPr>
              <w:t>（亿元）</w:t>
            </w:r>
          </w:p>
        </w:tc>
        <w:tc>
          <w:tcPr>
            <w:tcW w:w="1701" w:type="dxa"/>
            <w:vAlign w:val="center"/>
          </w:tcPr>
          <w:p w:rsidR="005A5047" w:rsidRDefault="005A5047" w:rsidP="00774B95">
            <w:pPr>
              <w:overflowPunct w:val="0"/>
              <w:spacing w:line="34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 w:hint="eastAsia"/>
                <w:color w:val="000000"/>
                <w:sz w:val="28"/>
                <w:szCs w:val="28"/>
              </w:rPr>
              <w:t>60</w:t>
            </w:r>
          </w:p>
        </w:tc>
      </w:tr>
      <w:tr w:rsidR="005A5047" w:rsidTr="00774B95">
        <w:trPr>
          <w:trHeight w:val="860"/>
          <w:jc w:val="center"/>
        </w:trPr>
        <w:tc>
          <w:tcPr>
            <w:tcW w:w="492" w:type="dxa"/>
            <w:vMerge/>
            <w:vAlign w:val="center"/>
          </w:tcPr>
          <w:p w:rsidR="005A5047" w:rsidRDefault="005A5047" w:rsidP="00774B95">
            <w:pPr>
              <w:overflowPunct w:val="0"/>
              <w:spacing w:line="3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3" w:type="dxa"/>
            <w:vMerge/>
            <w:vAlign w:val="center"/>
          </w:tcPr>
          <w:p w:rsidR="005A5047" w:rsidRDefault="005A5047" w:rsidP="00774B95">
            <w:pPr>
              <w:overflowPunct w:val="0"/>
              <w:spacing w:line="3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101" w:type="dxa"/>
            <w:vAlign w:val="center"/>
          </w:tcPr>
          <w:p w:rsidR="005A5047" w:rsidRDefault="005A5047" w:rsidP="00774B95">
            <w:pPr>
              <w:overflowPunct w:val="0"/>
              <w:spacing w:line="34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上年度企业在宁缴纳社保人数（人）</w:t>
            </w:r>
          </w:p>
        </w:tc>
        <w:tc>
          <w:tcPr>
            <w:tcW w:w="1701" w:type="dxa"/>
            <w:vAlign w:val="center"/>
          </w:tcPr>
          <w:p w:rsidR="005A5047" w:rsidRDefault="005A5047" w:rsidP="00774B95">
            <w:pPr>
              <w:overflowPunct w:val="0"/>
              <w:spacing w:line="34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 w:hint="eastAsia"/>
                <w:color w:val="000000"/>
                <w:sz w:val="28"/>
                <w:szCs w:val="28"/>
              </w:rPr>
              <w:t>15</w:t>
            </w:r>
          </w:p>
        </w:tc>
      </w:tr>
      <w:tr w:rsidR="005A5047" w:rsidTr="00774B95">
        <w:trPr>
          <w:trHeight w:val="836"/>
          <w:jc w:val="center"/>
        </w:trPr>
        <w:tc>
          <w:tcPr>
            <w:tcW w:w="492" w:type="dxa"/>
            <w:vMerge/>
            <w:vAlign w:val="center"/>
          </w:tcPr>
          <w:p w:rsidR="005A5047" w:rsidRDefault="005A5047" w:rsidP="00774B95">
            <w:pPr>
              <w:overflowPunct w:val="0"/>
              <w:spacing w:line="3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3" w:type="dxa"/>
            <w:vMerge/>
            <w:vAlign w:val="center"/>
          </w:tcPr>
          <w:p w:rsidR="005A5047" w:rsidRDefault="005A5047" w:rsidP="00774B95">
            <w:pPr>
              <w:overflowPunct w:val="0"/>
              <w:spacing w:line="3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101" w:type="dxa"/>
            <w:vAlign w:val="center"/>
          </w:tcPr>
          <w:p w:rsidR="005A5047" w:rsidRDefault="005A5047" w:rsidP="00774B95">
            <w:pPr>
              <w:overflowPunct w:val="0"/>
              <w:spacing w:line="34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上年度企业在宁研发费用投入（亿元）</w:t>
            </w:r>
          </w:p>
        </w:tc>
        <w:tc>
          <w:tcPr>
            <w:tcW w:w="1701" w:type="dxa"/>
            <w:vAlign w:val="center"/>
          </w:tcPr>
          <w:p w:rsidR="005A5047" w:rsidRDefault="005A5047" w:rsidP="00774B95">
            <w:pPr>
              <w:overflowPunct w:val="0"/>
              <w:spacing w:line="34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 w:hint="eastAsia"/>
                <w:color w:val="000000"/>
                <w:sz w:val="28"/>
                <w:szCs w:val="28"/>
              </w:rPr>
              <w:t>15</w:t>
            </w:r>
          </w:p>
        </w:tc>
      </w:tr>
      <w:tr w:rsidR="005A5047" w:rsidTr="00774B95">
        <w:trPr>
          <w:trHeight w:val="2830"/>
          <w:jc w:val="center"/>
        </w:trPr>
        <w:tc>
          <w:tcPr>
            <w:tcW w:w="492" w:type="dxa"/>
            <w:vAlign w:val="center"/>
          </w:tcPr>
          <w:p w:rsidR="005A5047" w:rsidRDefault="005A5047" w:rsidP="00774B95">
            <w:pPr>
              <w:overflowPunct w:val="0"/>
              <w:spacing w:line="3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附加分</w:t>
            </w:r>
          </w:p>
        </w:tc>
        <w:tc>
          <w:tcPr>
            <w:tcW w:w="923" w:type="dxa"/>
            <w:vAlign w:val="center"/>
          </w:tcPr>
          <w:p w:rsidR="005A5047" w:rsidRDefault="005A5047" w:rsidP="00774B95">
            <w:pPr>
              <w:overflowPunct w:val="0"/>
              <w:spacing w:line="3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25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7802" w:type="dxa"/>
            <w:gridSpan w:val="2"/>
            <w:vAlign w:val="center"/>
          </w:tcPr>
          <w:p w:rsidR="005A5047" w:rsidRDefault="005A5047" w:rsidP="00774B95">
            <w:pPr>
              <w:pStyle w:val="a3"/>
              <w:overflowPunct w:val="0"/>
              <w:spacing w:line="340" w:lineRule="exact"/>
              <w:rPr>
                <w:rFonts w:eastAsia="仿宋_GB2312" w:hint="eastAsia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1.</w:t>
            </w:r>
            <w:r>
              <w:rPr>
                <w:rFonts w:eastAsia="仿宋_GB2312"/>
                <w:color w:val="000000"/>
                <w:sz w:val="28"/>
                <w:szCs w:val="28"/>
              </w:rPr>
              <w:t>企业入选上年度世界</w:t>
            </w:r>
            <w:r>
              <w:rPr>
                <w:rFonts w:eastAsia="仿宋_GB2312"/>
                <w:color w:val="000000"/>
                <w:sz w:val="28"/>
                <w:szCs w:val="28"/>
              </w:rPr>
              <w:t>500</w:t>
            </w:r>
            <w:r>
              <w:rPr>
                <w:rFonts w:eastAsia="仿宋_GB2312"/>
                <w:color w:val="000000"/>
                <w:sz w:val="28"/>
                <w:szCs w:val="28"/>
              </w:rPr>
              <w:t>强加</w:t>
            </w:r>
            <w:r>
              <w:rPr>
                <w:rFonts w:eastAsia="仿宋_GB2312"/>
                <w:color w:val="000000"/>
                <w:sz w:val="28"/>
                <w:szCs w:val="28"/>
              </w:rPr>
              <w:t>2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5</w:t>
            </w:r>
            <w:r>
              <w:rPr>
                <w:rFonts w:eastAsia="仿宋_GB2312"/>
                <w:color w:val="000000"/>
                <w:sz w:val="28"/>
                <w:szCs w:val="28"/>
              </w:rPr>
              <w:t>分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（其中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1-100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（不含）位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25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分、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100-200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（不含）位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23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分、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200-300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（不含）位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21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分、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300-400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（不含）位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19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分，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400-500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（不含）位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17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分）；</w:t>
            </w:r>
          </w:p>
          <w:p w:rsidR="005A5047" w:rsidRDefault="005A5047" w:rsidP="00774B95">
            <w:pPr>
              <w:pStyle w:val="a3"/>
              <w:overflowPunct w:val="0"/>
              <w:spacing w:line="34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2.</w:t>
            </w:r>
            <w:r>
              <w:rPr>
                <w:rFonts w:eastAsia="仿宋_GB2312"/>
                <w:color w:val="000000"/>
                <w:sz w:val="28"/>
                <w:szCs w:val="28"/>
              </w:rPr>
              <w:t>企业入选上年度中国</w:t>
            </w:r>
            <w:r>
              <w:rPr>
                <w:rFonts w:eastAsia="仿宋_GB2312"/>
                <w:color w:val="000000"/>
                <w:sz w:val="28"/>
                <w:szCs w:val="28"/>
              </w:rPr>
              <w:t>500</w:t>
            </w:r>
            <w:r>
              <w:rPr>
                <w:rFonts w:eastAsia="仿宋_GB2312"/>
                <w:color w:val="000000"/>
                <w:sz w:val="28"/>
                <w:szCs w:val="28"/>
              </w:rPr>
              <w:t>强加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20</w:t>
            </w:r>
            <w:r>
              <w:rPr>
                <w:rFonts w:eastAsia="仿宋_GB2312"/>
                <w:color w:val="000000"/>
                <w:sz w:val="28"/>
                <w:szCs w:val="28"/>
              </w:rPr>
              <w:t>分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（其中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1-100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（不含）位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20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分、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100-200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（不含）位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18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分、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200-300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（不含）位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16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分、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300-400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（不含）位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14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分，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400-500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（不含）位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12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分）</w:t>
            </w:r>
            <w:r>
              <w:rPr>
                <w:rFonts w:eastAsia="仿宋_GB2312"/>
                <w:color w:val="000000"/>
                <w:sz w:val="28"/>
                <w:szCs w:val="28"/>
              </w:rPr>
              <w:t>；</w:t>
            </w:r>
          </w:p>
          <w:p w:rsidR="005A5047" w:rsidRDefault="005A5047" w:rsidP="00774B95">
            <w:pPr>
              <w:pStyle w:val="a3"/>
              <w:overflowPunct w:val="0"/>
              <w:spacing w:line="340" w:lineRule="exact"/>
              <w:rPr>
                <w:rFonts w:eastAsia="仿宋_GB2312" w:hint="eastAsia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3.</w:t>
            </w:r>
            <w:r>
              <w:rPr>
                <w:rFonts w:eastAsia="仿宋_GB2312"/>
                <w:color w:val="000000"/>
                <w:sz w:val="28"/>
                <w:szCs w:val="28"/>
              </w:rPr>
              <w:t>企业入选上年度中国民营企业</w:t>
            </w:r>
            <w:r>
              <w:rPr>
                <w:rFonts w:eastAsia="仿宋_GB2312"/>
                <w:color w:val="000000"/>
                <w:sz w:val="28"/>
                <w:szCs w:val="28"/>
              </w:rPr>
              <w:t>500</w:t>
            </w:r>
            <w:r>
              <w:rPr>
                <w:rFonts w:eastAsia="仿宋_GB2312"/>
                <w:color w:val="000000"/>
                <w:sz w:val="28"/>
                <w:szCs w:val="28"/>
              </w:rPr>
              <w:t>强、制造业</w:t>
            </w:r>
            <w:r>
              <w:rPr>
                <w:rFonts w:eastAsia="仿宋_GB2312"/>
                <w:color w:val="000000"/>
                <w:sz w:val="28"/>
                <w:szCs w:val="28"/>
              </w:rPr>
              <w:t>500</w:t>
            </w:r>
            <w:r>
              <w:rPr>
                <w:rFonts w:eastAsia="仿宋_GB2312"/>
                <w:color w:val="000000"/>
                <w:sz w:val="28"/>
                <w:szCs w:val="28"/>
              </w:rPr>
              <w:t>强、服务业</w:t>
            </w:r>
            <w:r>
              <w:rPr>
                <w:rFonts w:eastAsia="仿宋_GB2312"/>
                <w:color w:val="000000"/>
                <w:sz w:val="28"/>
                <w:szCs w:val="28"/>
              </w:rPr>
              <w:t>500</w:t>
            </w:r>
            <w:r>
              <w:rPr>
                <w:rFonts w:eastAsia="仿宋_GB2312"/>
                <w:color w:val="000000"/>
                <w:sz w:val="28"/>
                <w:szCs w:val="28"/>
              </w:rPr>
              <w:t>强的企业加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15</w:t>
            </w:r>
            <w:r>
              <w:rPr>
                <w:rFonts w:eastAsia="仿宋_GB2312"/>
                <w:color w:val="000000"/>
                <w:sz w:val="28"/>
                <w:szCs w:val="28"/>
              </w:rPr>
              <w:t>分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（其中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1-100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（不含）位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15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分、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100-200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（不含）位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13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分、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200-300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（不含）位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11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分、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300-400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（不含）位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9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分，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400-500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（不含）位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7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分）。</w:t>
            </w:r>
          </w:p>
        </w:tc>
      </w:tr>
      <w:tr w:rsidR="005A5047" w:rsidTr="00774B95">
        <w:trPr>
          <w:trHeight w:val="355"/>
          <w:jc w:val="center"/>
        </w:trPr>
        <w:tc>
          <w:tcPr>
            <w:tcW w:w="9217" w:type="dxa"/>
            <w:gridSpan w:val="4"/>
            <w:vAlign w:val="center"/>
          </w:tcPr>
          <w:p w:rsidR="005A5047" w:rsidRDefault="005A5047" w:rsidP="00774B95">
            <w:pPr>
              <w:overflowPunct w:val="0"/>
              <w:spacing w:line="34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备注：</w:t>
            </w:r>
          </w:p>
          <w:p w:rsidR="005A5047" w:rsidRDefault="005A5047" w:rsidP="00774B95">
            <w:pPr>
              <w:overflowPunct w:val="0"/>
              <w:spacing w:line="340" w:lineRule="exact"/>
              <w:ind w:firstLineChars="200" w:firstLine="56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1.</w:t>
            </w:r>
            <w:r>
              <w:rPr>
                <w:rFonts w:eastAsia="仿宋_GB2312"/>
                <w:color w:val="000000"/>
                <w:sz w:val="28"/>
                <w:szCs w:val="28"/>
              </w:rPr>
              <w:t>基本分的各项指标为申报企业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在宁</w:t>
            </w:r>
            <w:r>
              <w:rPr>
                <w:rFonts w:eastAsia="仿宋_GB2312"/>
                <w:color w:val="000000"/>
                <w:sz w:val="28"/>
                <w:szCs w:val="28"/>
              </w:rPr>
              <w:t>自身数据，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不含下属企业</w:t>
            </w:r>
            <w:r>
              <w:rPr>
                <w:rFonts w:eastAsia="仿宋_GB2312"/>
                <w:color w:val="000000"/>
                <w:sz w:val="28"/>
                <w:szCs w:val="28"/>
              </w:rPr>
              <w:t>；</w:t>
            </w:r>
          </w:p>
          <w:p w:rsidR="005A5047" w:rsidRDefault="005A5047" w:rsidP="00774B95">
            <w:pPr>
              <w:overflowPunct w:val="0"/>
              <w:spacing w:line="340" w:lineRule="exact"/>
              <w:ind w:firstLineChars="200" w:firstLine="56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2.</w:t>
            </w:r>
            <w:r>
              <w:rPr>
                <w:rFonts w:eastAsia="仿宋_GB2312"/>
                <w:color w:val="000000"/>
                <w:sz w:val="28"/>
                <w:szCs w:val="28"/>
              </w:rPr>
              <w:t>企业得分</w:t>
            </w:r>
            <w:r>
              <w:rPr>
                <w:rFonts w:eastAsia="仿宋_GB2312"/>
                <w:color w:val="000000"/>
                <w:sz w:val="28"/>
                <w:szCs w:val="28"/>
              </w:rPr>
              <w:t>=</w:t>
            </w:r>
            <w:r>
              <w:rPr>
                <w:rFonts w:eastAsia="仿宋_GB2312"/>
                <w:color w:val="000000"/>
                <w:sz w:val="28"/>
                <w:szCs w:val="28"/>
              </w:rPr>
              <w:t>基本分</w:t>
            </w:r>
            <w:r>
              <w:rPr>
                <w:rFonts w:eastAsia="仿宋_GB2312"/>
                <w:color w:val="000000"/>
                <w:sz w:val="28"/>
                <w:szCs w:val="28"/>
              </w:rPr>
              <w:t>+</w:t>
            </w:r>
            <w:r>
              <w:rPr>
                <w:rFonts w:eastAsia="仿宋_GB2312"/>
                <w:color w:val="000000"/>
                <w:sz w:val="28"/>
                <w:szCs w:val="28"/>
              </w:rPr>
              <w:t>附加分；</w:t>
            </w:r>
          </w:p>
          <w:p w:rsidR="005A5047" w:rsidRDefault="005A5047" w:rsidP="00774B95">
            <w:pPr>
              <w:overflowPunct w:val="0"/>
              <w:spacing w:line="340" w:lineRule="exact"/>
              <w:ind w:firstLineChars="200" w:firstLine="560"/>
              <w:jc w:val="left"/>
              <w:rPr>
                <w:rFonts w:eastAsia="仿宋_GB2312" w:hint="eastAsia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3.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企业各项指标：</w:t>
            </w:r>
          </w:p>
          <w:p w:rsidR="005A5047" w:rsidRDefault="005A5047" w:rsidP="00774B95">
            <w:pPr>
              <w:overflowPunct w:val="0"/>
              <w:spacing w:line="340" w:lineRule="exact"/>
              <w:ind w:firstLineChars="200" w:firstLine="560"/>
              <w:jc w:val="left"/>
              <w:rPr>
                <w:rFonts w:eastAsia="仿宋_GB2312" w:hint="eastAsia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企业在宁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营业收入得分：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100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亿元及以上得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60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分、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80-100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（不含）亿元得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54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分、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60-80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（不含）亿元得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48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分、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40-60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（不含）亿元得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42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分、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20-40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（不含）亿元得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36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分、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10-20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（不含）亿元得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30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分、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5-10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（不含）亿元得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24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分、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0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（不含）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-5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（不含）亿元得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10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分，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0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亿元得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0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分；</w:t>
            </w:r>
          </w:p>
          <w:p w:rsidR="005A5047" w:rsidRDefault="005A5047" w:rsidP="00774B95">
            <w:pPr>
              <w:overflowPunct w:val="0"/>
              <w:spacing w:line="340" w:lineRule="exact"/>
              <w:ind w:firstLineChars="200" w:firstLine="560"/>
              <w:jc w:val="left"/>
              <w:rPr>
                <w:rFonts w:eastAsia="仿宋_GB2312" w:hint="eastAsia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企业在宁缴纳社保人数得分：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2000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人及以上得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15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分、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1500-2000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（不含）人得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13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分、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1000-1500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（不含）人得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11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分、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500-1000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（不含）人得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9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分、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200-500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（不含）人得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7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分、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50-200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（不含）人得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5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分、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1-50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（不含）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lastRenderedPageBreak/>
              <w:t>人得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2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分、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0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人得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0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分；</w:t>
            </w:r>
          </w:p>
          <w:p w:rsidR="005A5047" w:rsidRDefault="005A5047" w:rsidP="00774B95">
            <w:pPr>
              <w:overflowPunct w:val="0"/>
              <w:spacing w:line="340" w:lineRule="exact"/>
              <w:ind w:firstLineChars="200" w:firstLine="56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企业</w:t>
            </w:r>
            <w:r>
              <w:rPr>
                <w:rFonts w:eastAsia="仿宋_GB2312"/>
                <w:color w:val="000000"/>
                <w:sz w:val="28"/>
                <w:szCs w:val="28"/>
              </w:rPr>
              <w:t>在宁研发费用投入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得分：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1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亿元及以上得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15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分，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0.8-1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（不含）亿元得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12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分、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0.5-0.8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（不含）亿元得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9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分、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0.2-0.5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（不含）亿元得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6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分、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0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（不含）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-0.2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（不含）亿元得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3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分、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0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亿元得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0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分</w:t>
            </w:r>
          </w:p>
          <w:p w:rsidR="005A5047" w:rsidRDefault="005A5047" w:rsidP="00774B95">
            <w:pPr>
              <w:overflowPunct w:val="0"/>
              <w:spacing w:line="340" w:lineRule="exact"/>
              <w:ind w:firstLineChars="200" w:firstLine="560"/>
              <w:jc w:val="left"/>
              <w:rPr>
                <w:rFonts w:eastAsia="仿宋_GB2312" w:hint="eastAsia"/>
                <w:color w:val="000000"/>
                <w:sz w:val="21"/>
                <w:szCs w:val="21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4.</w:t>
            </w:r>
            <w:r>
              <w:rPr>
                <w:rFonts w:eastAsia="仿宋_GB2312"/>
                <w:color w:val="000000"/>
                <w:sz w:val="28"/>
                <w:szCs w:val="28"/>
              </w:rPr>
              <w:t>根据企业得分由高到低排名，前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20</w:t>
            </w:r>
            <w:r>
              <w:rPr>
                <w:rFonts w:eastAsia="仿宋_GB2312"/>
                <w:color w:val="000000"/>
                <w:sz w:val="28"/>
                <w:szCs w:val="28"/>
              </w:rPr>
              <w:t>名认定为</w:t>
            </w:r>
            <w:r>
              <w:rPr>
                <w:rFonts w:eastAsia="仿宋_GB2312"/>
                <w:color w:val="000000"/>
                <w:sz w:val="28"/>
                <w:szCs w:val="28"/>
              </w:rPr>
              <w:t>“AAAAA”</w:t>
            </w:r>
            <w:r>
              <w:rPr>
                <w:rFonts w:eastAsia="仿宋_GB2312"/>
                <w:color w:val="000000"/>
                <w:sz w:val="28"/>
                <w:szCs w:val="28"/>
              </w:rPr>
              <w:t>级总部企业，第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21</w:t>
            </w:r>
            <w:r>
              <w:rPr>
                <w:rFonts w:eastAsia="仿宋_GB2312"/>
                <w:color w:val="000000"/>
                <w:sz w:val="28"/>
                <w:szCs w:val="28"/>
              </w:rPr>
              <w:t>-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50</w:t>
            </w:r>
            <w:r>
              <w:rPr>
                <w:rFonts w:eastAsia="仿宋_GB2312"/>
                <w:color w:val="000000"/>
                <w:sz w:val="28"/>
                <w:szCs w:val="28"/>
              </w:rPr>
              <w:t>名认定为</w:t>
            </w:r>
            <w:r>
              <w:rPr>
                <w:rFonts w:eastAsia="仿宋_GB2312"/>
                <w:color w:val="000000"/>
                <w:sz w:val="28"/>
                <w:szCs w:val="28"/>
              </w:rPr>
              <w:t>“AAAA”</w:t>
            </w:r>
            <w:r>
              <w:rPr>
                <w:rFonts w:eastAsia="仿宋_GB2312"/>
                <w:color w:val="000000"/>
                <w:sz w:val="28"/>
                <w:szCs w:val="28"/>
              </w:rPr>
              <w:t>级总部企业，第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5</w:t>
            </w:r>
            <w:r>
              <w:rPr>
                <w:rFonts w:eastAsia="仿宋_GB2312"/>
                <w:color w:val="000000"/>
                <w:sz w:val="28"/>
                <w:szCs w:val="28"/>
              </w:rPr>
              <w:t>1-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10</w:t>
            </w:r>
            <w:r>
              <w:rPr>
                <w:rFonts w:eastAsia="仿宋_GB2312"/>
                <w:color w:val="000000"/>
                <w:sz w:val="28"/>
                <w:szCs w:val="28"/>
              </w:rPr>
              <w:t>0</w:t>
            </w:r>
            <w:r>
              <w:rPr>
                <w:rFonts w:eastAsia="仿宋_GB2312"/>
                <w:color w:val="000000"/>
                <w:sz w:val="28"/>
                <w:szCs w:val="28"/>
              </w:rPr>
              <w:t>名认定为</w:t>
            </w:r>
            <w:r>
              <w:rPr>
                <w:rFonts w:eastAsia="仿宋_GB2312"/>
                <w:color w:val="000000"/>
                <w:sz w:val="28"/>
                <w:szCs w:val="28"/>
              </w:rPr>
              <w:t>“AAA”</w:t>
            </w:r>
            <w:r>
              <w:rPr>
                <w:rFonts w:eastAsia="仿宋_GB2312"/>
                <w:color w:val="000000"/>
                <w:sz w:val="28"/>
                <w:szCs w:val="28"/>
              </w:rPr>
              <w:t>级总部企业，第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10</w:t>
            </w:r>
            <w:r>
              <w:rPr>
                <w:rFonts w:eastAsia="仿宋_GB2312"/>
                <w:color w:val="000000"/>
                <w:sz w:val="28"/>
                <w:szCs w:val="28"/>
              </w:rPr>
              <w:t>1-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200</w:t>
            </w:r>
            <w:r>
              <w:rPr>
                <w:rFonts w:eastAsia="仿宋_GB2312"/>
                <w:color w:val="000000"/>
                <w:sz w:val="28"/>
                <w:szCs w:val="28"/>
              </w:rPr>
              <w:t>名认定为</w:t>
            </w:r>
            <w:r>
              <w:rPr>
                <w:rFonts w:eastAsia="仿宋_GB2312"/>
                <w:color w:val="000000"/>
                <w:sz w:val="28"/>
                <w:szCs w:val="28"/>
              </w:rPr>
              <w:t>“AA”</w:t>
            </w:r>
            <w:r>
              <w:rPr>
                <w:rFonts w:eastAsia="仿宋_GB2312"/>
                <w:color w:val="000000"/>
                <w:sz w:val="28"/>
                <w:szCs w:val="28"/>
              </w:rPr>
              <w:t>级总部企业，其他认定为</w:t>
            </w:r>
            <w:r>
              <w:rPr>
                <w:rFonts w:eastAsia="仿宋_GB2312"/>
                <w:color w:val="000000"/>
                <w:sz w:val="28"/>
                <w:szCs w:val="28"/>
              </w:rPr>
              <w:t>“A”</w:t>
            </w:r>
            <w:r>
              <w:rPr>
                <w:rFonts w:eastAsia="仿宋_GB2312"/>
                <w:color w:val="000000"/>
                <w:sz w:val="28"/>
                <w:szCs w:val="28"/>
              </w:rPr>
              <w:t>级总部企业。</w:t>
            </w:r>
            <w:r>
              <w:rPr>
                <w:rFonts w:eastAsia="仿宋_GB2312" w:hint="eastAsia"/>
                <w:color w:val="000000"/>
                <w:sz w:val="21"/>
                <w:szCs w:val="21"/>
              </w:rPr>
              <w:t xml:space="preserve">  </w:t>
            </w:r>
          </w:p>
          <w:p w:rsidR="005A5047" w:rsidRDefault="005A5047" w:rsidP="00774B95">
            <w:pPr>
              <w:overflowPunct w:val="0"/>
              <w:spacing w:line="340" w:lineRule="exact"/>
              <w:ind w:firstLineChars="200" w:firstLine="56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5.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附加分</w:t>
            </w:r>
            <w:r>
              <w:rPr>
                <w:rFonts w:eastAsia="仿宋_GB2312"/>
                <w:color w:val="000000"/>
                <w:sz w:val="28"/>
                <w:szCs w:val="28"/>
              </w:rPr>
              <w:t>以美国《财富》杂志、中国企业联合会、中国企业家协会、全国工商联公布的榜单为准，按照就高、不重复原则加分。</w:t>
            </w:r>
          </w:p>
        </w:tc>
      </w:tr>
    </w:tbl>
    <w:p w:rsidR="00000000" w:rsidRPr="005A5047" w:rsidRDefault="005A5047"/>
    <w:sectPr w:rsidR="00000000" w:rsidRPr="005A50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5047"/>
    <w:rsid w:val="005A5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047"/>
    <w:pPr>
      <w:spacing w:line="300" w:lineRule="auto"/>
      <w:jc w:val="both"/>
    </w:pPr>
    <w:rPr>
      <w:rFonts w:ascii="Times New Roman" w:eastAsia="方正仿宋_GBK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5A5047"/>
    <w:pPr>
      <w:spacing w:after="120"/>
    </w:pPr>
  </w:style>
  <w:style w:type="character" w:customStyle="1" w:styleId="Char">
    <w:name w:val="正文文本 Char"/>
    <w:basedOn w:val="a0"/>
    <w:link w:val="a3"/>
    <w:uiPriority w:val="99"/>
    <w:rsid w:val="005A5047"/>
    <w:rPr>
      <w:rFonts w:ascii="Times New Roman" w:eastAsia="方正仿宋_GBK" w:hAnsi="Times New Roman" w:cs="Times New Roman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903</Characters>
  <Application>Microsoft Office Word</Application>
  <DocSecurity>0</DocSecurity>
  <Lines>7</Lines>
  <Paragraphs>2</Paragraphs>
  <ScaleCrop>false</ScaleCrop>
  <Company>微软中国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2026-01-26T08:34:00Z</dcterms:created>
  <dcterms:modified xsi:type="dcterms:W3CDTF">2026-01-26T08:34:00Z</dcterms:modified>
</cp:coreProperties>
</file>