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082" w:type="dxa"/>
        <w:tblLayout w:type="fixed"/>
        <w:tblLook w:val="04A0" w:firstRow="1" w:lastRow="0" w:firstColumn="1" w:lastColumn="0" w:noHBand="0" w:noVBand="1"/>
      </w:tblPr>
      <w:tblGrid>
        <w:gridCol w:w="10082"/>
      </w:tblGrid>
      <w:tr w:rsidR="000C7BBE">
        <w:trPr>
          <w:trHeight w:val="4054"/>
        </w:trPr>
        <w:tc>
          <w:tcPr>
            <w:tcW w:w="10082" w:type="dxa"/>
            <w:tcBorders>
              <w:top w:val="nil"/>
              <w:left w:val="nil"/>
              <w:bottom w:val="nil"/>
              <w:right w:val="nil"/>
            </w:tcBorders>
          </w:tcPr>
          <w:p w:rsidR="000C7BBE" w:rsidRDefault="000C7BBE">
            <w:pPr>
              <w:pStyle w:val="a4"/>
              <w:spacing w:line="550" w:lineRule="exact"/>
              <w:rPr>
                <w:rFonts w:ascii="仿宋" w:eastAsia="仿宋" w:hAnsi="仿宋" w:cs="仿宋"/>
                <w:b/>
                <w:bCs/>
                <w:color w:val="FF0000"/>
                <w:sz w:val="22"/>
                <w:szCs w:val="22"/>
              </w:rPr>
            </w:pPr>
          </w:p>
        </w:tc>
      </w:tr>
      <w:tr w:rsidR="000C7BBE">
        <w:trPr>
          <w:trHeight w:val="4945"/>
        </w:trPr>
        <w:tc>
          <w:tcPr>
            <w:tcW w:w="10082" w:type="dxa"/>
            <w:tcBorders>
              <w:top w:val="nil"/>
              <w:left w:val="nil"/>
              <w:bottom w:val="nil"/>
              <w:right w:val="nil"/>
            </w:tcBorders>
            <w:vAlign w:val="center"/>
          </w:tcPr>
          <w:p w:rsidR="000C7BBE" w:rsidRDefault="00557EDB">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南京市发展和改革委员会</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0C7BBE" w:rsidRDefault="000C7BBE">
      <w:pPr>
        <w:ind w:rightChars="129" w:right="284"/>
        <w:jc w:val="both"/>
        <w:rPr>
          <w:rFonts w:ascii="宋体" w:eastAsia="宋体" w:hAnsi="宋体" w:cs="宋体"/>
          <w:b/>
          <w:bCs/>
          <w:sz w:val="52"/>
          <w:szCs w:val="52"/>
        </w:rPr>
        <w:sectPr w:rsidR="000C7BBE">
          <w:headerReference w:type="default" r:id="rId8"/>
          <w:headerReference w:type="first" r:id="rId9"/>
          <w:pgSz w:w="11906" w:h="16838"/>
          <w:pgMar w:top="1580" w:right="1020" w:bottom="770" w:left="1020" w:header="170" w:footer="280" w:gutter="0"/>
          <w:cols w:space="720"/>
          <w:formProt w:val="0"/>
          <w:titlePg/>
          <w:docGrid w:linePitch="100"/>
        </w:sectPr>
      </w:pPr>
    </w:p>
    <w:p w:rsidR="000C7BBE" w:rsidRDefault="000C7BBE">
      <w:pPr>
        <w:pStyle w:val="a4"/>
        <w:spacing w:before="4"/>
        <w:rPr>
          <w:rFonts w:ascii="华文仿宋" w:eastAsia="华文仿宋" w:hAnsi="华文仿宋" w:cs="仿宋"/>
          <w:sz w:val="10"/>
        </w:rPr>
      </w:pPr>
    </w:p>
    <w:p w:rsidR="000C7BBE" w:rsidRDefault="00557EDB">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0C7BBE" w:rsidRDefault="000C7BBE">
      <w:pPr>
        <w:pStyle w:val="a4"/>
        <w:snapToGrid w:val="0"/>
        <w:spacing w:before="7"/>
        <w:rPr>
          <w:rFonts w:ascii="仿宋" w:eastAsia="仿宋" w:hAnsi="仿宋" w:cs="仿宋"/>
          <w:sz w:val="27"/>
        </w:rPr>
      </w:pP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0C7BBE" w:rsidRDefault="00557ED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0C7BBE" w:rsidRDefault="00557ED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0C7BBE" w:rsidRDefault="00557EDB">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0C7BBE" w:rsidRDefault="00557EDB">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2026</w:t>
      </w:r>
      <w:r>
        <w:rPr>
          <w:rFonts w:ascii="仿宋" w:eastAsia="仿宋" w:hAnsi="仿宋" w:cs="仿宋" w:hint="eastAsia"/>
          <w:b/>
          <w:bCs/>
          <w:lang w:val="en-US"/>
        </w:rPr>
        <w:t>年度</w:t>
      </w:r>
      <w:r>
        <w:rPr>
          <w:rFonts w:ascii="仿宋" w:eastAsia="仿宋" w:hAnsi="仿宋" w:cs="仿宋"/>
          <w:b/>
        </w:rPr>
        <w:t>单位预算表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0C7BBE" w:rsidRDefault="00557EDB">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0C7BBE" w:rsidRDefault="00557EDB">
      <w:pPr>
        <w:pStyle w:val="a4"/>
        <w:snapToGrid w:val="0"/>
        <w:spacing w:line="312" w:lineRule="auto"/>
        <w:ind w:leftChars="300" w:left="671" w:right="506"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bidi="ar"/>
        </w:rPr>
        <w:t>2026</w:t>
      </w:r>
      <w:r>
        <w:rPr>
          <w:rFonts w:ascii="仿宋" w:eastAsia="仿宋" w:hAnsi="仿宋" w:cs="仿宋" w:hint="eastAsia"/>
          <w:b/>
          <w:bCs/>
          <w:color w:val="000000"/>
          <w:sz w:val="30"/>
          <w:szCs w:val="30"/>
          <w:lang w:val="en-US" w:bidi="ar"/>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bidi="ar"/>
        </w:rPr>
        <w:t>预算</w:t>
      </w:r>
      <w:r>
        <w:rPr>
          <w:rFonts w:ascii="仿宋" w:eastAsia="仿宋" w:hAnsi="仿宋" w:cs="仿宋" w:hint="eastAsia"/>
          <w:b/>
          <w:bCs/>
          <w:color w:val="000000"/>
          <w:sz w:val="30"/>
          <w:szCs w:val="30"/>
          <w:lang w:val="en-US" w:bidi="ar"/>
        </w:rPr>
        <w:t>情况说明</w:t>
      </w:r>
    </w:p>
    <w:p w:rsidR="000C7BBE" w:rsidRDefault="00557EDB">
      <w:pPr>
        <w:pStyle w:val="a4"/>
        <w:snapToGrid w:val="0"/>
        <w:spacing w:line="312" w:lineRule="auto"/>
        <w:ind w:leftChars="300" w:left="671" w:right="2575" w:hanging="11"/>
        <w:jc w:val="both"/>
        <w:rPr>
          <w:rFonts w:ascii="仿宋" w:eastAsia="仿宋" w:hAnsi="仿宋" w:cs="仿宋"/>
          <w:b/>
          <w:bCs/>
          <w:color w:val="000000"/>
          <w:sz w:val="30"/>
          <w:szCs w:val="30"/>
          <w:lang w:val="en-US" w:bidi="ar"/>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0C7BBE" w:rsidRDefault="000C7BBE">
      <w:pPr>
        <w:pStyle w:val="a4"/>
        <w:snapToGrid w:val="0"/>
        <w:spacing w:line="312" w:lineRule="auto"/>
        <w:ind w:leftChars="300" w:left="669" w:right="2414" w:hanging="9"/>
        <w:jc w:val="both"/>
        <w:rPr>
          <w:rFonts w:ascii="仿宋" w:eastAsia="仿宋" w:hAnsi="仿宋" w:cs="仿宋"/>
        </w:rPr>
        <w:sectPr w:rsidR="000C7BBE">
          <w:footerReference w:type="default" r:id="rId10"/>
          <w:pgSz w:w="11906" w:h="16838"/>
          <w:pgMar w:top="1580" w:right="1020" w:bottom="770" w:left="1020" w:header="170" w:footer="280" w:gutter="0"/>
          <w:pgNumType w:fmt="numberInDash" w:start="1"/>
          <w:cols w:space="720"/>
          <w:formProt w:val="0"/>
          <w:docGrid w:linePitch="100"/>
        </w:sectPr>
      </w:pPr>
    </w:p>
    <w:p w:rsidR="000C7BBE" w:rsidRDefault="000C7BBE">
      <w:pPr>
        <w:pStyle w:val="a4"/>
        <w:spacing w:before="1"/>
        <w:rPr>
          <w:rFonts w:ascii="华文仿宋" w:eastAsia="华文仿宋" w:hAnsi="华文仿宋" w:cs="仿宋"/>
          <w:sz w:val="14"/>
        </w:rPr>
      </w:pPr>
    </w:p>
    <w:p w:rsidR="000C7BBE" w:rsidRDefault="00557EDB">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0C7BBE" w:rsidRDefault="000C7BBE">
      <w:pPr>
        <w:ind w:rightChars="229" w:right="504"/>
        <w:jc w:val="both"/>
      </w:pPr>
    </w:p>
    <w:p w:rsidR="000C7BBE" w:rsidRDefault="00557ED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拟订并组织实施全市国民经济和社会发展战略、中长期规划和年度计划。</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提出加快建设全市现代化经济体系、推动高质量发展的总体目标、重大任务以及相关政策、评估督导，提出调整建议。</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提出全市国民经济和社会发展主要目标，监测宏观经济和社会发展趋势。</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指导推进和综合协调全市经济体制改革、供给侧结构性改革。推进产权制度和要素市场化配置改革。推进全市优化营商环境工作。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研究协调利用外资、境外投资和国际产能合作的政策，承担统筹协调走出去工作。牵头推进全市</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建设和总部经济发展工作。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负责投资综合管理，拟订全市固定资产投资总规模、结构调控目标和政策。拟订并推动全市鼓励民间投资政策措施。指导、协调全市招投标工作。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推进落实区域协调发展战略、新型城镇化战略和重大政策，组织拟订相关区域规划和政策。推动落实</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建设、长江经济带发展、长三角区域一体化发展等国家重大战略。统筹推进扬子江城市群重点功能区建设，推进宁镇扬一体</w:t>
      </w:r>
      <w:r>
        <w:rPr>
          <w:rFonts w:ascii="仿宋" w:eastAsia="仿宋" w:hAnsi="仿宋" w:cs="仿宋"/>
        </w:rPr>
        <w:lastRenderedPageBreak/>
        <w:t>化和南京都市</w:t>
      </w:r>
      <w:proofErr w:type="gramStart"/>
      <w:r>
        <w:rPr>
          <w:rFonts w:ascii="仿宋" w:eastAsia="仿宋" w:hAnsi="仿宋" w:cs="仿宋"/>
        </w:rPr>
        <w:t>圈合作</w:t>
      </w:r>
      <w:proofErr w:type="gramEnd"/>
      <w:r>
        <w:rPr>
          <w:rFonts w:ascii="仿宋" w:eastAsia="仿宋" w:hAnsi="仿宋" w:cs="仿宋"/>
        </w:rPr>
        <w:t>与发展。组织编制并推动</w:t>
      </w:r>
      <w:r>
        <w:rPr>
          <w:rFonts w:ascii="仿宋" w:eastAsia="仿宋" w:hAnsi="仿宋" w:cs="仿宋"/>
        </w:rPr>
        <w:t>实施全市新型城镇化规划。牵头协调推进全市对口支援、对口帮扶和对口合作工作。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组织拟订全市综合性产业政策。协调推进重大基础设施建设发展，组织拟订并推动实施全市服务业战略规划，推进先进制造业与现代服务业融合发展。统筹推进全市民营经济、低空经济</w:t>
      </w:r>
      <w:r w:rsidR="002F5054">
        <w:rPr>
          <w:rFonts w:ascii="仿宋" w:eastAsia="仿宋" w:hAnsi="仿宋" w:cs="仿宋" w:hint="eastAsia"/>
        </w:rPr>
        <w:t>、</w:t>
      </w:r>
      <w:r w:rsidR="002F5054">
        <w:rPr>
          <w:rFonts w:ascii="仿宋" w:eastAsia="仿宋" w:hAnsi="仿宋" w:cs="仿宋" w:hint="eastAsia"/>
        </w:rPr>
        <w:t>人工智能产业发展等工作。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推动实施创新驱动发展战略。组织拟订并推动实施全市高技术产业和战略性新兴产业发展政策。</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w:t>
      </w:r>
      <w:r>
        <w:rPr>
          <w:rFonts w:ascii="仿宋" w:eastAsia="仿宋" w:hAnsi="仿宋" w:cs="仿宋"/>
        </w:rPr>
        <w:t>跟踪</w:t>
      </w:r>
      <w:proofErr w:type="gramStart"/>
      <w:r>
        <w:rPr>
          <w:rFonts w:ascii="仿宋" w:eastAsia="仿宋" w:hAnsi="仿宋" w:cs="仿宋"/>
        </w:rPr>
        <w:t>研判经济</w:t>
      </w:r>
      <w:proofErr w:type="gramEnd"/>
      <w:r>
        <w:rPr>
          <w:rFonts w:ascii="仿宋" w:eastAsia="仿宋" w:hAnsi="仿宋" w:cs="仿宋"/>
        </w:rPr>
        <w:t>安全等风险隐患，提出相关工作建议。</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w:t>
      </w:r>
      <w:r>
        <w:rPr>
          <w:rFonts w:ascii="仿宋" w:eastAsia="仿宋" w:hAnsi="仿宋" w:cs="仿宋"/>
        </w:rPr>
        <w:t>负责社会发展与国民经济发展的政策衔接。牵头开展全市社会信用体系建设工作。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w:t>
      </w:r>
      <w:r>
        <w:rPr>
          <w:rFonts w:ascii="仿宋" w:eastAsia="仿宋" w:hAnsi="仿宋" w:cs="仿宋"/>
        </w:rPr>
        <w:t>推进实施可持续发展战略，协调</w:t>
      </w:r>
      <w:r>
        <w:rPr>
          <w:rFonts w:ascii="仿宋" w:eastAsia="仿宋" w:hAnsi="仿宋" w:cs="仿宋"/>
        </w:rPr>
        <w:t>生态环境保护与修复、能源资源节约和综合利用等工作。提出全市能源消费总量控制目标、任务并组织实施。</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w:t>
      </w:r>
      <w:r>
        <w:rPr>
          <w:rFonts w:ascii="仿宋" w:eastAsia="仿宋" w:hAnsi="仿宋" w:cs="仿宋"/>
        </w:rPr>
        <w:t>负责全市能源行业管理。承担电力、煤炭管理工作。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14.</w:t>
      </w:r>
      <w:r>
        <w:rPr>
          <w:rFonts w:ascii="仿宋" w:eastAsia="仿宋" w:hAnsi="仿宋" w:cs="仿宋"/>
        </w:rPr>
        <w:t>负责市场价格监测预警，提出价格调控目标和政策建议，落实价格调节基金等价格调控措施。</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15.</w:t>
      </w:r>
      <w:r>
        <w:rPr>
          <w:rFonts w:ascii="仿宋" w:eastAsia="仿宋" w:hAnsi="仿宋" w:cs="仿宋"/>
        </w:rPr>
        <w:t>组织实施全市粮食流通和物资储备的法律法规和规章。监测粮食和战略物资供求变化并预测预警。承担粮食安全责任制考核、军粮供应管理、对外合作与交流。</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16.</w:t>
      </w:r>
      <w:r>
        <w:rPr>
          <w:rFonts w:ascii="仿宋" w:eastAsia="仿宋" w:hAnsi="仿宋" w:cs="仿宋"/>
        </w:rPr>
        <w:t>拟订全市粮食与物资储备行业发展规划并组织实施。</w:t>
      </w:r>
    </w:p>
    <w:p w:rsidR="000C7BBE" w:rsidRDefault="00557ED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lastRenderedPageBreak/>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办公室、发展战略和规划处、国民经济综合处（研究室）、经济体制改革处、固定资产投资处（行政审批服务处）、重大项目建设办公室、利用外资和境外投资处、区域经济处（长三角区域一体化发展处）、支援合作处、农村经济处、基础设施发展处（枢纽经济处）、</w:t>
      </w:r>
      <w:proofErr w:type="gramStart"/>
      <w:r>
        <w:rPr>
          <w:rFonts w:ascii="仿宋" w:eastAsia="仿宋" w:hAnsi="仿宋" w:cs="仿宋"/>
        </w:rPr>
        <w:t>低空经济</w:t>
      </w:r>
      <w:proofErr w:type="gramEnd"/>
      <w:r>
        <w:rPr>
          <w:rFonts w:ascii="仿宋" w:eastAsia="仿宋" w:hAnsi="仿宋" w:cs="仿宋"/>
        </w:rPr>
        <w:t>发展处、长江经济带发展处、人工智能发展处</w:t>
      </w:r>
      <w:r>
        <w:rPr>
          <w:rFonts w:ascii="仿宋" w:eastAsia="仿宋" w:hAnsi="仿宋" w:cs="仿宋"/>
        </w:rPr>
        <w:t>(</w:t>
      </w:r>
      <w:r>
        <w:rPr>
          <w:rFonts w:ascii="仿宋" w:eastAsia="仿宋" w:hAnsi="仿宋" w:cs="仿宋"/>
        </w:rPr>
        <w:t>工业处</w:t>
      </w:r>
      <w:r>
        <w:rPr>
          <w:rFonts w:ascii="仿宋" w:eastAsia="仿宋" w:hAnsi="仿宋" w:cs="仿宋"/>
        </w:rPr>
        <w:t>)</w:t>
      </w:r>
      <w:r>
        <w:rPr>
          <w:rFonts w:ascii="仿宋" w:eastAsia="仿宋" w:hAnsi="仿宋" w:cs="仿宋"/>
        </w:rPr>
        <w:t>、服务业处（经贸处）、民营经济发展处、创新和高技术发展处、资源节约和环境保护处、社会发展处、就业收入分配和消费处、财政金融处、信用建设处、能源处（经济运行调节处、安全生产监督管理处）、价格和收费管理</w:t>
      </w:r>
      <w:r>
        <w:rPr>
          <w:rFonts w:ascii="仿宋" w:eastAsia="仿宋" w:hAnsi="仿宋" w:cs="仿宋"/>
        </w:rPr>
        <w:t>处、价格调控和成本监审处、粮食和物资科技建设处、粮食和物资储备处、粮食和物资监督检查处、法规处（招投标管理处）、评估督查和审计处、财务处、人事处、机关党委、离退休干部处。本单位无下属单位。</w:t>
      </w:r>
    </w:p>
    <w:p w:rsidR="000C7BBE" w:rsidRDefault="00557EDB">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sidRPr="002F5054">
        <w:rPr>
          <w:rFonts w:ascii="仿宋" w:eastAsia="仿宋" w:hAnsi="仿宋" w:cs="仿宋"/>
          <w:b/>
        </w:rPr>
        <w:t>聚焦</w:t>
      </w:r>
      <w:proofErr w:type="gramStart"/>
      <w:r w:rsidRPr="002F5054">
        <w:rPr>
          <w:rFonts w:ascii="仿宋" w:eastAsia="仿宋" w:hAnsi="仿宋" w:cs="仿宋"/>
          <w:b/>
        </w:rPr>
        <w:t>稳增长提</w:t>
      </w:r>
      <w:proofErr w:type="gramEnd"/>
      <w:r w:rsidRPr="002F5054">
        <w:rPr>
          <w:rFonts w:ascii="仿宋" w:eastAsia="仿宋" w:hAnsi="仿宋" w:cs="仿宋"/>
          <w:b/>
        </w:rPr>
        <w:t>信心，推动经济运行持续向好。</w:t>
      </w:r>
      <w:r>
        <w:rPr>
          <w:rFonts w:ascii="仿宋" w:eastAsia="仿宋" w:hAnsi="仿宋" w:cs="仿宋"/>
        </w:rPr>
        <w:t>制定市</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规划纲要</w:t>
      </w:r>
      <w:bookmarkStart w:id="0" w:name="_GoBack"/>
      <w:bookmarkEnd w:id="0"/>
      <w:r>
        <w:rPr>
          <w:rFonts w:ascii="仿宋" w:eastAsia="仿宋" w:hAnsi="仿宋" w:cs="仿宋"/>
        </w:rPr>
        <w:t>及专项规划，分解主要目标和重点任务。紧密对接国家、</w:t>
      </w:r>
      <w:proofErr w:type="gramStart"/>
      <w:r>
        <w:rPr>
          <w:rFonts w:ascii="仿宋" w:eastAsia="仿宋" w:hAnsi="仿宋" w:cs="仿宋"/>
        </w:rPr>
        <w:t>省政策</w:t>
      </w:r>
      <w:proofErr w:type="gramEnd"/>
      <w:r>
        <w:rPr>
          <w:rFonts w:ascii="仿宋" w:eastAsia="仿宋" w:hAnsi="仿宋" w:cs="仿宋"/>
        </w:rPr>
        <w:t>导向，调研企业</w:t>
      </w:r>
      <w:r w:rsidR="002F5054">
        <w:rPr>
          <w:rFonts w:ascii="仿宋" w:eastAsia="仿宋" w:hAnsi="仿宋" w:cs="仿宋"/>
        </w:rPr>
        <w:t>发展</w:t>
      </w:r>
      <w:r>
        <w:rPr>
          <w:rFonts w:ascii="仿宋" w:eastAsia="仿宋" w:hAnsi="仿宋" w:cs="仿宋"/>
        </w:rPr>
        <w:t>诉求，出台年度集成性一揽子政策，推动惠</w:t>
      </w:r>
      <w:proofErr w:type="gramStart"/>
      <w:r>
        <w:rPr>
          <w:rFonts w:ascii="仿宋" w:eastAsia="仿宋" w:hAnsi="仿宋" w:cs="仿宋"/>
        </w:rPr>
        <w:t>企政策</w:t>
      </w:r>
      <w:proofErr w:type="gramEnd"/>
      <w:r>
        <w:rPr>
          <w:rFonts w:ascii="仿宋" w:eastAsia="仿宋" w:hAnsi="仿宋" w:cs="仿宋"/>
        </w:rPr>
        <w:t>直达快享。</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sidRPr="002F5054">
        <w:rPr>
          <w:rFonts w:ascii="仿宋" w:eastAsia="仿宋" w:hAnsi="仿宋" w:cs="仿宋"/>
          <w:b/>
        </w:rPr>
        <w:t>聚焦项目投资扩量，夯实高质量发展支撑。</w:t>
      </w:r>
      <w:r>
        <w:rPr>
          <w:rFonts w:ascii="仿宋" w:eastAsia="仿宋" w:hAnsi="仿宋" w:cs="仿宋"/>
        </w:rPr>
        <w:t>依托</w:t>
      </w:r>
      <w:r>
        <w:rPr>
          <w:rFonts w:ascii="仿宋" w:eastAsia="仿宋" w:hAnsi="仿宋" w:cs="仿宋"/>
        </w:rPr>
        <w:t>“1+N+12”</w:t>
      </w:r>
      <w:r>
        <w:rPr>
          <w:rFonts w:ascii="仿宋" w:eastAsia="仿宋" w:hAnsi="仿宋" w:cs="仿宋"/>
        </w:rPr>
        <w:t>工作体系和</w:t>
      </w:r>
      <w:r>
        <w:rPr>
          <w:rFonts w:ascii="仿宋" w:eastAsia="仿宋" w:hAnsi="仿宋" w:cs="仿宋"/>
        </w:rPr>
        <w:t>“1352”</w:t>
      </w:r>
      <w:r>
        <w:rPr>
          <w:rFonts w:ascii="仿宋" w:eastAsia="仿宋" w:hAnsi="仿宋" w:cs="仿宋"/>
        </w:rPr>
        <w:t>问题</w:t>
      </w:r>
      <w:r>
        <w:rPr>
          <w:rFonts w:ascii="仿宋" w:eastAsia="仿宋" w:hAnsi="仿宋" w:cs="仿宋"/>
        </w:rPr>
        <w:t>会办制度，清单化、销号</w:t>
      </w:r>
      <w:proofErr w:type="gramStart"/>
      <w:r>
        <w:rPr>
          <w:rFonts w:ascii="仿宋" w:eastAsia="仿宋" w:hAnsi="仿宋" w:cs="仿宋"/>
        </w:rPr>
        <w:t>式推动</w:t>
      </w:r>
      <w:proofErr w:type="gramEnd"/>
      <w:r>
        <w:rPr>
          <w:rFonts w:ascii="仿宋" w:eastAsia="仿宋" w:hAnsi="仿宋" w:cs="仿宋"/>
        </w:rPr>
        <w:t>解决用地、用能等难点问题。紧盯超长期特别国债、专项债、中央预算内投资等窗口期，精准对接国家战略，谋划储</w:t>
      </w:r>
      <w:r>
        <w:rPr>
          <w:rFonts w:ascii="仿宋" w:eastAsia="仿宋" w:hAnsi="仿宋" w:cs="仿宋"/>
        </w:rPr>
        <w:lastRenderedPageBreak/>
        <w:t>备优质项目。科学编制政府投资计划，</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sidRPr="002F5054">
        <w:rPr>
          <w:rFonts w:ascii="仿宋" w:eastAsia="仿宋" w:hAnsi="仿宋" w:cs="仿宋"/>
          <w:b/>
        </w:rPr>
        <w:t>聚焦产业升级增动能，构建现代化产业体系。</w:t>
      </w:r>
      <w:r>
        <w:rPr>
          <w:rFonts w:ascii="仿宋" w:eastAsia="仿宋" w:hAnsi="仿宋" w:cs="仿宋"/>
        </w:rPr>
        <w:t>全力做好</w:t>
      </w:r>
      <w:r>
        <w:rPr>
          <w:rFonts w:ascii="仿宋" w:eastAsia="仿宋" w:hAnsi="仿宋" w:cs="仿宋"/>
        </w:rPr>
        <w:t>CENI</w:t>
      </w:r>
      <w:r>
        <w:rPr>
          <w:rFonts w:ascii="仿宋" w:eastAsia="仿宋" w:hAnsi="仿宋" w:cs="仿宋"/>
        </w:rPr>
        <w:t>国家验收和开放共享工作，争取原子级制造、全场景电磁孪生试验设施等列入</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国家重大科技基础设施规划服务</w:t>
      </w:r>
      <w:r>
        <w:rPr>
          <w:rFonts w:ascii="仿宋" w:eastAsia="仿宋" w:hAnsi="仿宋" w:cs="仿宋"/>
        </w:rPr>
        <w:t>“</w:t>
      </w:r>
      <w:r>
        <w:rPr>
          <w:rFonts w:ascii="仿宋" w:eastAsia="仿宋" w:hAnsi="仿宋" w:cs="仿宋"/>
        </w:rPr>
        <w:t>上南合作</w:t>
      </w:r>
      <w:r>
        <w:rPr>
          <w:rFonts w:ascii="仿宋" w:eastAsia="仿宋" w:hAnsi="仿宋" w:cs="仿宋"/>
        </w:rPr>
        <w:t>”</w:t>
      </w:r>
      <w:proofErr w:type="gramStart"/>
      <w:r>
        <w:rPr>
          <w:rFonts w:ascii="仿宋" w:eastAsia="仿宋" w:hAnsi="仿宋" w:cs="仿宋"/>
        </w:rPr>
        <w:t>和宝武集团</w:t>
      </w:r>
      <w:proofErr w:type="gramEnd"/>
      <w:r>
        <w:rPr>
          <w:rFonts w:ascii="仿宋" w:eastAsia="仿宋" w:hAnsi="仿宋" w:cs="仿宋"/>
        </w:rPr>
        <w:t>转型，争取产量指标向优势企业集聚。推动石化企业</w:t>
      </w:r>
      <w:r>
        <w:rPr>
          <w:rFonts w:ascii="仿宋" w:eastAsia="仿宋" w:hAnsi="仿宋" w:cs="仿宋"/>
        </w:rPr>
        <w:t>“</w:t>
      </w:r>
      <w:r>
        <w:rPr>
          <w:rFonts w:ascii="仿宋" w:eastAsia="仿宋" w:hAnsi="仿宋" w:cs="仿宋"/>
        </w:rPr>
        <w:t>减油增化</w:t>
      </w:r>
      <w:r>
        <w:rPr>
          <w:rFonts w:ascii="仿宋" w:eastAsia="仿宋" w:hAnsi="仿宋" w:cs="仿宋"/>
        </w:rPr>
        <w:t>”</w:t>
      </w:r>
      <w:r>
        <w:rPr>
          <w:rFonts w:ascii="仿宋" w:eastAsia="仿宋" w:hAnsi="仿宋" w:cs="仿宋"/>
        </w:rPr>
        <w:t>和</w:t>
      </w:r>
      <w:proofErr w:type="gramStart"/>
      <w:r>
        <w:rPr>
          <w:rFonts w:ascii="仿宋" w:eastAsia="仿宋" w:hAnsi="仿宋" w:cs="仿宋"/>
        </w:rPr>
        <w:t>延链</w:t>
      </w:r>
      <w:proofErr w:type="gramEnd"/>
      <w:r>
        <w:rPr>
          <w:rFonts w:ascii="仿宋" w:eastAsia="仿宋" w:hAnsi="仿宋" w:cs="仿宋"/>
        </w:rPr>
        <w:t>补链，加快低空经济、集成电路等新兴产业集聚，推进高端制造、生物医药、新材料等领域关键核心技术突</w:t>
      </w:r>
      <w:r>
        <w:rPr>
          <w:rFonts w:ascii="仿宋" w:eastAsia="仿宋" w:hAnsi="仿宋" w:cs="仿宋"/>
        </w:rPr>
        <w:t>破和装备产业化。编制商贸服务型国家物流枢纽建设方案，推动与京东集团战略合作落地。</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sidRPr="002F5054">
        <w:rPr>
          <w:rFonts w:ascii="仿宋" w:eastAsia="仿宋" w:hAnsi="仿宋" w:cs="仿宋"/>
          <w:b/>
        </w:rPr>
        <w:t>聚焦改革开放破瓶颈，激发内生发展活力。</w:t>
      </w:r>
      <w:r>
        <w:rPr>
          <w:rFonts w:ascii="仿宋" w:eastAsia="仿宋" w:hAnsi="仿宋" w:cs="仿宋"/>
        </w:rPr>
        <w:t>实施要素市场化配置综合改革试点两年行动方案，破除要素流动壁垒。制定新一轮优化营商环境要点，持续清理市场准入壁垒，</w:t>
      </w:r>
      <w:proofErr w:type="gramStart"/>
      <w:r>
        <w:rPr>
          <w:rFonts w:ascii="仿宋" w:eastAsia="仿宋" w:hAnsi="仿宋" w:cs="仿宋"/>
        </w:rPr>
        <w:t>完善跨</w:t>
      </w:r>
      <w:proofErr w:type="gramEnd"/>
      <w:r>
        <w:rPr>
          <w:rFonts w:ascii="仿宋" w:eastAsia="仿宋" w:hAnsi="仿宋" w:cs="仿宋"/>
        </w:rPr>
        <w:t>区域公平竞争审查协作机制。实施《盘活存量资产资源三年行动方案（</w:t>
      </w:r>
      <w:r>
        <w:rPr>
          <w:rFonts w:ascii="仿宋" w:eastAsia="仿宋" w:hAnsi="仿宋" w:cs="仿宋"/>
        </w:rPr>
        <w:t>2026—2028</w:t>
      </w:r>
      <w:r>
        <w:rPr>
          <w:rFonts w:ascii="仿宋" w:eastAsia="仿宋" w:hAnsi="仿宋" w:cs="仿宋"/>
        </w:rPr>
        <w:t>年）》，出台支持政策，</w:t>
      </w:r>
      <w:proofErr w:type="gramStart"/>
      <w:r>
        <w:rPr>
          <w:rFonts w:ascii="仿宋" w:eastAsia="仿宋" w:hAnsi="仿宋" w:cs="仿宋"/>
        </w:rPr>
        <w:t>聚焦科创</w:t>
      </w:r>
      <w:proofErr w:type="gramEnd"/>
      <w:r>
        <w:rPr>
          <w:rFonts w:ascii="仿宋" w:eastAsia="仿宋" w:hAnsi="仿宋" w:cs="仿宋"/>
        </w:rPr>
        <w:t>、工业、商办载体等重点领域突破，组织项目推介，总结推广优秀案例。加强企业失信风险预警，深化信用修复</w:t>
      </w:r>
      <w:r>
        <w:rPr>
          <w:rFonts w:ascii="仿宋" w:eastAsia="仿宋" w:hAnsi="仿宋" w:cs="仿宋"/>
        </w:rPr>
        <w:t>“</w:t>
      </w:r>
      <w:r>
        <w:rPr>
          <w:rFonts w:ascii="仿宋" w:eastAsia="仿宋" w:hAnsi="仿宋" w:cs="仿宋"/>
        </w:rPr>
        <w:t>不见面办理</w:t>
      </w:r>
      <w:r>
        <w:rPr>
          <w:rFonts w:ascii="仿宋" w:eastAsia="仿宋" w:hAnsi="仿宋" w:cs="仿宋"/>
        </w:rPr>
        <w:t>”</w:t>
      </w:r>
      <w:r>
        <w:rPr>
          <w:rFonts w:ascii="仿宋" w:eastAsia="仿宋" w:hAnsi="仿宋" w:cs="仿宋"/>
        </w:rPr>
        <w:t>，拓展</w:t>
      </w:r>
      <w:r>
        <w:rPr>
          <w:rFonts w:ascii="仿宋" w:eastAsia="仿宋" w:hAnsi="仿宋" w:cs="仿宋"/>
        </w:rPr>
        <w:t>“</w:t>
      </w:r>
      <w:r>
        <w:rPr>
          <w:rFonts w:ascii="仿宋" w:eastAsia="仿宋" w:hAnsi="仿宋" w:cs="仿宋"/>
        </w:rPr>
        <w:t>信易</w:t>
      </w:r>
      <w:r>
        <w:rPr>
          <w:rFonts w:ascii="仿宋" w:eastAsia="仿宋" w:hAnsi="仿宋" w:cs="仿宋"/>
        </w:rPr>
        <w:t>+”</w:t>
      </w:r>
      <w:r>
        <w:rPr>
          <w:rFonts w:ascii="仿宋" w:eastAsia="仿宋" w:hAnsi="仿宋" w:cs="仿宋"/>
        </w:rPr>
        <w:t>应用场景，完善</w:t>
      </w:r>
      <w:r>
        <w:rPr>
          <w:rFonts w:ascii="仿宋" w:eastAsia="仿宋" w:hAnsi="仿宋" w:cs="仿宋"/>
        </w:rPr>
        <w:t>“</w:t>
      </w:r>
      <w:r>
        <w:rPr>
          <w:rFonts w:ascii="仿宋" w:eastAsia="仿宋" w:hAnsi="仿宋" w:cs="仿宋"/>
        </w:rPr>
        <w:t>信易贷</w:t>
      </w:r>
      <w:r>
        <w:rPr>
          <w:rFonts w:ascii="仿宋" w:eastAsia="仿宋" w:hAnsi="仿宋" w:cs="仿宋"/>
        </w:rPr>
        <w:t>”</w:t>
      </w:r>
      <w:r>
        <w:rPr>
          <w:rFonts w:ascii="仿宋" w:eastAsia="仿宋" w:hAnsi="仿宋" w:cs="仿宋"/>
        </w:rPr>
        <w:t>机制。</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sidRPr="002F5054">
        <w:rPr>
          <w:rFonts w:ascii="仿宋" w:eastAsia="仿宋" w:hAnsi="仿宋" w:cs="仿宋"/>
          <w:b/>
        </w:rPr>
        <w:t>聚焦区域协同促融合，拓展发展空间格局。</w:t>
      </w:r>
      <w:r>
        <w:rPr>
          <w:rFonts w:ascii="仿宋" w:eastAsia="仿宋" w:hAnsi="仿宋" w:cs="仿宋"/>
        </w:rPr>
        <w:t>编制</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一带一路</w:t>
      </w:r>
      <w:r>
        <w:rPr>
          <w:rFonts w:ascii="仿宋" w:eastAsia="仿宋" w:hAnsi="仿宋" w:cs="仿宋"/>
        </w:rPr>
        <w:t>”</w:t>
      </w:r>
      <w:r>
        <w:rPr>
          <w:rFonts w:ascii="仿宋" w:eastAsia="仿宋" w:hAnsi="仿宋" w:cs="仿宋"/>
        </w:rPr>
        <w:t>交汇点重要枢纽城市建设规划，印发</w:t>
      </w:r>
      <w:r>
        <w:rPr>
          <w:rFonts w:ascii="仿宋" w:eastAsia="仿宋" w:hAnsi="仿宋" w:cs="仿宋"/>
        </w:rPr>
        <w:t>2026</w:t>
      </w:r>
      <w:r>
        <w:rPr>
          <w:rFonts w:ascii="仿宋" w:eastAsia="仿宋" w:hAnsi="仿宋" w:cs="仿宋"/>
        </w:rPr>
        <w:t>年工作要点，强化中阿产能合作示范园服务，支持更多企业落户拓展市场。对接京津冀、粤港澳大湾区等战略，深化产业承接、创新协同等合作。高质量编制《南京都市圈发展规划（</w:t>
      </w:r>
      <w:r>
        <w:rPr>
          <w:rFonts w:ascii="仿宋" w:eastAsia="仿宋" w:hAnsi="仿宋" w:cs="仿宋"/>
        </w:rPr>
        <w:t>2026—2030</w:t>
      </w:r>
      <w:r>
        <w:rPr>
          <w:rFonts w:ascii="仿宋" w:eastAsia="仿宋" w:hAnsi="仿宋" w:cs="仿宋"/>
        </w:rPr>
        <w:t>）》和三年行动计划，推动宁镇扬、宁马</w:t>
      </w:r>
      <w:proofErr w:type="gramStart"/>
      <w:r>
        <w:rPr>
          <w:rFonts w:ascii="仿宋" w:eastAsia="仿宋" w:hAnsi="仿宋" w:cs="仿宋"/>
        </w:rPr>
        <w:t>滁</w:t>
      </w:r>
      <w:proofErr w:type="gramEnd"/>
      <w:r>
        <w:rPr>
          <w:rFonts w:ascii="仿宋" w:eastAsia="仿宋" w:hAnsi="仿宋" w:cs="仿宋"/>
        </w:rPr>
        <w:t>等重</w:t>
      </w:r>
      <w:r>
        <w:rPr>
          <w:rFonts w:ascii="仿宋" w:eastAsia="仿宋" w:hAnsi="仿宋" w:cs="仿宋"/>
        </w:rPr>
        <w:lastRenderedPageBreak/>
        <w:t>点板块同城化。编制</w:t>
      </w:r>
      <w:r>
        <w:rPr>
          <w:rFonts w:ascii="仿宋" w:eastAsia="仿宋" w:hAnsi="仿宋" w:cs="仿宋"/>
        </w:rPr>
        <w:t>“</w:t>
      </w:r>
      <w:r>
        <w:rPr>
          <w:rFonts w:ascii="仿宋" w:eastAsia="仿宋" w:hAnsi="仿宋" w:cs="仿宋"/>
        </w:rPr>
        <w:t>十五五</w:t>
      </w:r>
      <w:r>
        <w:rPr>
          <w:rFonts w:ascii="仿宋" w:eastAsia="仿宋" w:hAnsi="仿宋" w:cs="仿宋"/>
        </w:rPr>
        <w:t>”</w:t>
      </w:r>
      <w:r>
        <w:rPr>
          <w:rFonts w:ascii="仿宋" w:eastAsia="仿宋" w:hAnsi="仿宋" w:cs="仿宋"/>
        </w:rPr>
        <w:t>枢纽经济专项规划，构建空铁水一体化格局，推进禄口国际机场三期、宁宣铁路等项目前期工作。</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sidRPr="002F5054">
        <w:rPr>
          <w:rFonts w:ascii="仿宋" w:eastAsia="仿宋" w:hAnsi="仿宋" w:cs="仿宋"/>
          <w:b/>
        </w:rPr>
        <w:t>聚焦绿色低碳转型，建设美丽宜居城市。</w:t>
      </w:r>
      <w:r>
        <w:rPr>
          <w:rFonts w:ascii="仿宋" w:eastAsia="仿宋" w:hAnsi="仿宋" w:cs="仿宋"/>
        </w:rPr>
        <w:t>开展碳排放双控转型探索，培育</w:t>
      </w:r>
      <w:r>
        <w:rPr>
          <w:rFonts w:ascii="仿宋" w:eastAsia="仿宋" w:hAnsi="仿宋" w:cs="仿宋"/>
        </w:rPr>
        <w:t>低碳应用场景。推进江宁开发区</w:t>
      </w:r>
      <w:proofErr w:type="gramStart"/>
      <w:r>
        <w:rPr>
          <w:rFonts w:ascii="仿宋" w:eastAsia="仿宋" w:hAnsi="仿宋" w:cs="仿宋"/>
        </w:rPr>
        <w:t>国家碳达峰</w:t>
      </w:r>
      <w:proofErr w:type="gramEnd"/>
      <w:r>
        <w:rPr>
          <w:rFonts w:ascii="仿宋" w:eastAsia="仿宋" w:hAnsi="仿宋" w:cs="仿宋"/>
        </w:rPr>
        <w:t>试点，争取更多国家、省级</w:t>
      </w:r>
      <w:r>
        <w:rPr>
          <w:rFonts w:ascii="仿宋" w:eastAsia="仿宋" w:hAnsi="仿宋" w:cs="仿宋"/>
        </w:rPr>
        <w:t>“</w:t>
      </w:r>
      <w:r>
        <w:rPr>
          <w:rFonts w:ascii="仿宋" w:eastAsia="仿宋" w:hAnsi="仿宋" w:cs="仿宋"/>
        </w:rPr>
        <w:t>双碳</w:t>
      </w:r>
      <w:r>
        <w:rPr>
          <w:rFonts w:ascii="仿宋" w:eastAsia="仿宋" w:hAnsi="仿宋" w:cs="仿宋"/>
        </w:rPr>
        <w:t>”</w:t>
      </w:r>
      <w:r>
        <w:rPr>
          <w:rFonts w:ascii="仿宋" w:eastAsia="仿宋" w:hAnsi="仿宋" w:cs="仿宋"/>
        </w:rPr>
        <w:t>试点示范。深入推进污染治理</w:t>
      </w:r>
      <w:r>
        <w:rPr>
          <w:rFonts w:ascii="仿宋" w:eastAsia="仿宋" w:hAnsi="仿宋" w:cs="仿宋"/>
        </w:rPr>
        <w:t>“4+1”</w:t>
      </w:r>
      <w:r>
        <w:rPr>
          <w:rFonts w:ascii="仿宋" w:eastAsia="仿宋" w:hAnsi="仿宋" w:cs="仿宋"/>
        </w:rPr>
        <w:t>工程，落实长江经济带发展规划，持续整改审计发现问题。严格</w:t>
      </w:r>
      <w:r>
        <w:rPr>
          <w:rFonts w:ascii="仿宋" w:eastAsia="仿宋" w:hAnsi="仿宋" w:cs="仿宋"/>
        </w:rPr>
        <w:t>“</w:t>
      </w:r>
      <w:r>
        <w:rPr>
          <w:rFonts w:ascii="仿宋" w:eastAsia="仿宋" w:hAnsi="仿宋" w:cs="仿宋"/>
        </w:rPr>
        <w:t>两高</w:t>
      </w:r>
      <w:r>
        <w:rPr>
          <w:rFonts w:ascii="仿宋" w:eastAsia="仿宋" w:hAnsi="仿宋" w:cs="仿宋"/>
        </w:rPr>
        <w:t>”</w:t>
      </w:r>
      <w:r>
        <w:rPr>
          <w:rFonts w:ascii="仿宋" w:eastAsia="仿宋" w:hAnsi="仿宋" w:cs="仿宋"/>
        </w:rPr>
        <w:t>项目准入，支持企业工艺改造和流程再造。完善节能审查和</w:t>
      </w:r>
      <w:proofErr w:type="gramStart"/>
      <w:r>
        <w:rPr>
          <w:rFonts w:ascii="仿宋" w:eastAsia="仿宋" w:hAnsi="仿宋" w:cs="仿宋"/>
        </w:rPr>
        <w:t>碳评</w:t>
      </w:r>
      <w:proofErr w:type="gramEnd"/>
      <w:r>
        <w:rPr>
          <w:rFonts w:ascii="仿宋" w:eastAsia="仿宋" w:hAnsi="仿宋" w:cs="仿宋"/>
        </w:rPr>
        <w:t>机制，保障重点优质项目能耗要素，推动产业深度</w:t>
      </w:r>
      <w:r>
        <w:rPr>
          <w:rFonts w:ascii="仿宋" w:eastAsia="仿宋" w:hAnsi="仿宋" w:cs="仿宋"/>
        </w:rPr>
        <w:t>“</w:t>
      </w:r>
      <w:r>
        <w:rPr>
          <w:rFonts w:ascii="仿宋" w:eastAsia="仿宋" w:hAnsi="仿宋" w:cs="仿宋"/>
        </w:rPr>
        <w:t>脱碳</w:t>
      </w:r>
      <w:r>
        <w:rPr>
          <w:rFonts w:ascii="仿宋" w:eastAsia="仿宋" w:hAnsi="仿宋" w:cs="仿宋"/>
        </w:rPr>
        <w:t>”</w:t>
      </w:r>
      <w:r>
        <w:rPr>
          <w:rFonts w:ascii="仿宋" w:eastAsia="仿宋" w:hAnsi="仿宋" w:cs="仿宋"/>
        </w:rPr>
        <w:t>。</w:t>
      </w:r>
    </w:p>
    <w:p w:rsidR="000C7BBE" w:rsidRDefault="00557ED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sidRPr="002F5054">
        <w:rPr>
          <w:rFonts w:ascii="仿宋" w:eastAsia="仿宋" w:hAnsi="仿宋" w:cs="仿宋"/>
          <w:b/>
        </w:rPr>
        <w:t>聚焦民生福祉增温度，提升群众幸福指数。</w:t>
      </w:r>
      <w:r>
        <w:rPr>
          <w:rFonts w:ascii="仿宋" w:eastAsia="仿宋" w:hAnsi="仿宋" w:cs="仿宋"/>
        </w:rPr>
        <w:t>办好民生实事项目。科学编制</w:t>
      </w:r>
      <w:r>
        <w:rPr>
          <w:rFonts w:ascii="仿宋" w:eastAsia="仿宋" w:hAnsi="仿宋" w:cs="仿宋"/>
        </w:rPr>
        <w:t>2026</w:t>
      </w:r>
      <w:r>
        <w:rPr>
          <w:rFonts w:ascii="仿宋" w:eastAsia="仿宋" w:hAnsi="仿宋" w:cs="仿宋"/>
        </w:rPr>
        <w:t>年度民生实事，抓好普通高中、医疗设施、养老托育等项目建设，加大民生领域投资。出台</w:t>
      </w:r>
      <w:r>
        <w:rPr>
          <w:rFonts w:ascii="仿宋" w:eastAsia="仿宋" w:hAnsi="仿宋" w:cs="仿宋"/>
        </w:rPr>
        <w:t>2026</w:t>
      </w:r>
      <w:r>
        <w:rPr>
          <w:rFonts w:ascii="仿宋" w:eastAsia="仿宋" w:hAnsi="仿宋" w:cs="仿宋"/>
        </w:rPr>
        <w:t>年富民增收重点任务清单，突出重点人群就业、低收入人口帮扶，拓展居民收入渠道。统筹夏秋两季粮食收购，修订储备粮管理办法，完善应急保障体系。做好重要民生商品保供稳价，确保</w:t>
      </w:r>
      <w:r>
        <w:rPr>
          <w:rFonts w:ascii="仿宋" w:eastAsia="仿宋" w:hAnsi="仿宋" w:cs="仿宋"/>
        </w:rPr>
        <w:t>CPI</w:t>
      </w:r>
      <w:r>
        <w:rPr>
          <w:rFonts w:ascii="仿宋" w:eastAsia="仿宋" w:hAnsi="仿宋" w:cs="仿宋"/>
        </w:rPr>
        <w:t>涨幅控制在省定目标以内。强化</w:t>
      </w:r>
      <w:proofErr w:type="gramStart"/>
      <w:r>
        <w:rPr>
          <w:rFonts w:ascii="仿宋" w:eastAsia="仿宋" w:hAnsi="仿宋" w:cs="仿宋"/>
        </w:rPr>
        <w:t>能源电力保</w:t>
      </w:r>
      <w:proofErr w:type="gramEnd"/>
      <w:r>
        <w:rPr>
          <w:rFonts w:ascii="仿宋" w:eastAsia="仿宋" w:hAnsi="仿宋" w:cs="仿宋"/>
        </w:rPr>
        <w:t>供和油气、电力设施安全维护。</w:t>
      </w:r>
    </w:p>
    <w:p w:rsidR="000C7BBE" w:rsidRDefault="000C7BBE">
      <w:pPr>
        <w:pStyle w:val="a4"/>
        <w:spacing w:line="235" w:lineRule="auto"/>
        <w:ind w:leftChars="300" w:left="669" w:right="2414" w:hanging="9"/>
        <w:jc w:val="both"/>
        <w:rPr>
          <w:rFonts w:ascii="仿宋" w:eastAsia="仿宋" w:hAnsi="仿宋" w:cs="仿宋"/>
        </w:rPr>
        <w:sectPr w:rsidR="000C7BBE">
          <w:footerReference w:type="default" r:id="rId11"/>
          <w:pgSz w:w="11906" w:h="16838"/>
          <w:pgMar w:top="1580" w:right="1020" w:bottom="770" w:left="1020" w:header="170" w:footer="280" w:gutter="0"/>
          <w:pgNumType w:fmt="numberInDash"/>
          <w:cols w:space="720"/>
          <w:formProt w:val="0"/>
          <w:docGrid w:linePitch="100"/>
        </w:sectPr>
      </w:pPr>
    </w:p>
    <w:p w:rsidR="000C7BBE" w:rsidRDefault="000C7BBE">
      <w:pPr>
        <w:pStyle w:val="a4"/>
        <w:spacing w:line="360" w:lineRule="auto"/>
        <w:ind w:leftChars="200" w:left="440" w:rightChars="229" w:right="504" w:firstLine="658"/>
        <w:jc w:val="both"/>
        <w:rPr>
          <w:rFonts w:ascii="仿宋" w:eastAsia="仿宋" w:hAnsi="仿宋" w:cs="仿宋"/>
          <w:lang w:val="en-US"/>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0C7BBE">
      <w:pPr>
        <w:pStyle w:val="10"/>
        <w:tabs>
          <w:tab w:val="left" w:pos="1609"/>
        </w:tabs>
        <w:spacing w:before="12" w:line="300" w:lineRule="auto"/>
        <w:ind w:left="340" w:right="567" w:firstLine="0"/>
        <w:jc w:val="center"/>
        <w:rPr>
          <w:rFonts w:ascii="仿宋" w:eastAsia="仿宋" w:hAnsi="仿宋" w:cs="仿宋"/>
          <w:b/>
          <w:bCs/>
          <w:sz w:val="44"/>
          <w:szCs w:val="44"/>
        </w:rPr>
      </w:pPr>
    </w:p>
    <w:p w:rsidR="000C7BBE" w:rsidRDefault="00557ED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0C7BBE" w:rsidRDefault="00557ED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0C7BBE" w:rsidRDefault="00557EDB">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南京市发展和改革委员会</w:t>
      </w:r>
    </w:p>
    <w:p w:rsidR="000C7BBE" w:rsidRDefault="00557EDB">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firstRow="1" w:lastRow="0" w:firstColumn="1" w:lastColumn="0" w:noHBand="0" w:noVBand="1"/>
      </w:tblPr>
      <w:tblGrid>
        <w:gridCol w:w="3908"/>
        <w:gridCol w:w="1869"/>
        <w:gridCol w:w="3704"/>
        <w:gridCol w:w="67"/>
        <w:gridCol w:w="1781"/>
      </w:tblGrid>
      <w:tr w:rsidR="000C7BBE">
        <w:trPr>
          <w:trHeight w:val="116"/>
          <w:jc w:val="center"/>
        </w:trPr>
        <w:tc>
          <w:tcPr>
            <w:tcW w:w="11329" w:type="dxa"/>
            <w:gridSpan w:val="5"/>
            <w:vAlign w:val="center"/>
          </w:tcPr>
          <w:p w:rsidR="000C7BBE" w:rsidRDefault="00557EDB">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0C7BBE">
        <w:trPr>
          <w:trHeight w:val="348"/>
          <w:jc w:val="center"/>
        </w:trPr>
        <w:tc>
          <w:tcPr>
            <w:tcW w:w="11329" w:type="dxa"/>
            <w:gridSpan w:val="5"/>
          </w:tcPr>
          <w:p w:rsidR="000C7BBE" w:rsidRDefault="00557EDB">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0C7BBE">
        <w:trPr>
          <w:trHeight w:val="333"/>
          <w:jc w:val="center"/>
        </w:trPr>
        <w:tc>
          <w:tcPr>
            <w:tcW w:w="9481" w:type="dxa"/>
            <w:gridSpan w:val="3"/>
            <w:tcBorders>
              <w:bottom w:val="single" w:sz="4" w:space="0" w:color="000000"/>
            </w:tcBorders>
            <w:vAlign w:val="center"/>
          </w:tcPr>
          <w:p w:rsidR="000C7BBE" w:rsidRDefault="00557EDB">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南京市发展和改革委员会</w:t>
            </w:r>
          </w:p>
        </w:tc>
        <w:tc>
          <w:tcPr>
            <w:tcW w:w="1848" w:type="dxa"/>
            <w:gridSpan w:val="2"/>
            <w:tcBorders>
              <w:bottom w:val="single" w:sz="4" w:space="0" w:color="000000"/>
            </w:tcBorders>
            <w:vAlign w:val="center"/>
          </w:tcPr>
          <w:p w:rsidR="000C7BBE" w:rsidRDefault="00557EDB">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0C7BBE">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0C7BBE">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12,217.39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6,820.70</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1,682.01</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3,714.68</w:t>
            </w: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0C7BBE">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keepNext/>
              <w:keepLines/>
              <w:jc w:val="right"/>
              <w:rPr>
                <w:rFonts w:ascii="仿宋" w:eastAsia="仿宋" w:hAnsi="仿宋" w:cs="仿宋"/>
                <w:color w:val="000000"/>
                <w:lang w:eastAsia="ar-SA"/>
              </w:rPr>
            </w:pPr>
          </w:p>
        </w:tc>
      </w:tr>
      <w:tr w:rsidR="000C7BBE">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rPr>
            </w:pPr>
            <w:r>
              <w:rPr>
                <w:rFonts w:ascii="仿宋" w:eastAsia="仿宋" w:hAnsi="仿宋" w:cs="仿宋" w:hint="eastAsia"/>
                <w:b/>
                <w:bCs/>
                <w:color w:val="000000"/>
                <w:lang w:val="en-US"/>
              </w:rPr>
              <w:t>12,217.39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rPr>
            </w:pPr>
            <w:r>
              <w:rPr>
                <w:rFonts w:ascii="仿宋" w:eastAsia="仿宋" w:hAnsi="仿宋" w:cs="仿宋" w:hint="eastAsia"/>
                <w:b/>
                <w:bCs/>
                <w:color w:val="000000"/>
                <w:lang w:val="en-US"/>
              </w:rPr>
              <w:t>12,217.39</w:t>
            </w:r>
          </w:p>
        </w:tc>
      </w:tr>
      <w:tr w:rsidR="000C7BBE">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0C7BBE">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0C7BBE">
            <w:pPr>
              <w:jc w:val="right"/>
              <w:rPr>
                <w:rFonts w:ascii="仿宋" w:eastAsia="仿宋" w:hAnsi="仿宋" w:cs="仿宋"/>
                <w:b/>
                <w:bCs/>
                <w:color w:val="000000"/>
                <w:lang w:val="en-US"/>
              </w:rPr>
            </w:pPr>
          </w:p>
        </w:tc>
      </w:tr>
      <w:tr w:rsidR="000C7BBE">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12,217.39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b/>
                <w:bCs/>
                <w:color w:val="000000"/>
                <w:lang w:val="en-US"/>
              </w:rPr>
            </w:pPr>
            <w:r>
              <w:rPr>
                <w:rFonts w:ascii="仿宋" w:eastAsia="仿宋" w:hAnsi="仿宋" w:cs="仿宋" w:hint="eastAsia"/>
                <w:b/>
                <w:bCs/>
                <w:color w:val="000000"/>
                <w:lang w:val="en-US"/>
              </w:rPr>
              <w:t>12,217.39</w:t>
            </w:r>
          </w:p>
        </w:tc>
      </w:tr>
    </w:tbl>
    <w:p w:rsidR="000C7BBE" w:rsidRDefault="000C7BBE">
      <w:pPr>
        <w:spacing w:before="66"/>
        <w:rPr>
          <w:rFonts w:ascii="仿宋" w:eastAsia="仿宋" w:hAnsi="仿宋" w:cs="仿宋"/>
          <w:b/>
          <w:bCs/>
          <w:color w:val="000000"/>
        </w:rPr>
        <w:sectPr w:rsidR="000C7BBE">
          <w:footerReference w:type="default" r:id="rId12"/>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0C7BBE">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0C7BBE">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C7BBE">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0C7BBE">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0C7BBE">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0C7BBE" w:rsidRDefault="00557EDB">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0C7BBE">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val="en-US"/>
              </w:rPr>
            </w:pPr>
          </w:p>
        </w:tc>
      </w:tr>
      <w:tr w:rsidR="000C7BBE">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r>
      <w:tr w:rsidR="000C7BBE">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pacing w:line="34" w:lineRule="atLeast"/>
              <w:ind w:right="45"/>
              <w:jc w:val="right"/>
              <w:rPr>
                <w:rFonts w:ascii="仿宋" w:eastAsia="仿宋" w:hAnsi="仿宋" w:cs="仿宋"/>
                <w:color w:val="000000"/>
                <w:sz w:val="15"/>
                <w:szCs w:val="15"/>
                <w:lang w:eastAsia="ar-SA"/>
              </w:rPr>
            </w:pPr>
          </w:p>
        </w:tc>
      </w:tr>
    </w:tbl>
    <w:p w:rsidR="000C7BBE" w:rsidRDefault="000C7BBE">
      <w:pPr>
        <w:spacing w:before="66"/>
        <w:rPr>
          <w:rFonts w:ascii="仿宋" w:eastAsia="仿宋" w:hAnsi="仿宋" w:cs="仿宋"/>
          <w:b/>
          <w:bCs/>
        </w:rPr>
        <w:sectPr w:rsidR="000C7BBE">
          <w:footerReference w:type="default" r:id="rId13"/>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firstRow="1" w:lastRow="0" w:firstColumn="1" w:lastColumn="0" w:noHBand="0" w:noVBand="1"/>
      </w:tblPr>
      <w:tblGrid>
        <w:gridCol w:w="1556"/>
        <w:gridCol w:w="3223"/>
        <w:gridCol w:w="1920"/>
        <w:gridCol w:w="1714"/>
        <w:gridCol w:w="1749"/>
        <w:gridCol w:w="1868"/>
        <w:gridCol w:w="1680"/>
        <w:gridCol w:w="1637"/>
      </w:tblGrid>
      <w:tr w:rsidR="000C7BBE">
        <w:trPr>
          <w:trHeight w:val="341"/>
        </w:trPr>
        <w:tc>
          <w:tcPr>
            <w:tcW w:w="15347" w:type="dxa"/>
            <w:gridSpan w:val="8"/>
            <w:vAlign w:val="center"/>
          </w:tcPr>
          <w:p w:rsidR="000C7BBE" w:rsidRDefault="00557EDB">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0C7BBE">
        <w:trPr>
          <w:trHeight w:val="321"/>
        </w:trPr>
        <w:tc>
          <w:tcPr>
            <w:tcW w:w="15347" w:type="dxa"/>
            <w:gridSpan w:val="8"/>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0C7BBE">
        <w:trPr>
          <w:trHeight w:val="218"/>
        </w:trPr>
        <w:tc>
          <w:tcPr>
            <w:tcW w:w="12030" w:type="dxa"/>
            <w:gridSpan w:val="6"/>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317" w:type="dxa"/>
            <w:gridSpan w:val="2"/>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0C7BBE">
        <w:trPr>
          <w:trHeight w:val="533"/>
        </w:trPr>
        <w:tc>
          <w:tcPr>
            <w:tcW w:w="1556"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0C7BBE">
        <w:trPr>
          <w:trHeight w:hRule="exact" w:val="375"/>
        </w:trPr>
        <w:tc>
          <w:tcPr>
            <w:tcW w:w="4779" w:type="dxa"/>
            <w:gridSpan w:val="2"/>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1714"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1749"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left w:val="single" w:sz="4" w:space="0" w:color="000000"/>
              <w:bottom w:val="single" w:sz="4" w:space="0" w:color="000000"/>
            </w:tcBorders>
            <w:vAlign w:val="center"/>
          </w:tcPr>
          <w:p w:rsidR="000C7BBE" w:rsidRDefault="000C7BBE">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0C7BBE" w:rsidRDefault="000C7BBE">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20104</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2010401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2010402</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r w:rsidR="000C7BBE">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714" w:type="dxa"/>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749"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0C7BBE" w:rsidRDefault="000C7BBE">
            <w:pPr>
              <w:pStyle w:val="TableParagraph"/>
              <w:jc w:val="right"/>
              <w:rPr>
                <w:rFonts w:ascii="仿宋" w:eastAsia="仿宋" w:hAnsi="仿宋" w:cs="仿宋"/>
              </w:rPr>
            </w:pPr>
          </w:p>
        </w:tc>
      </w:tr>
    </w:tbl>
    <w:p w:rsidR="000C7BBE" w:rsidRDefault="000C7BBE">
      <w:pPr>
        <w:spacing w:before="59"/>
        <w:ind w:left="57"/>
        <w:rPr>
          <w:rFonts w:ascii="仿宋" w:eastAsia="仿宋" w:hAnsi="仿宋" w:cs="仿宋"/>
          <w:b/>
          <w:bCs/>
        </w:rPr>
        <w:sectPr w:rsidR="000C7BBE">
          <w:footerReference w:type="default" r:id="rId14"/>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firstRow="1" w:lastRow="0" w:firstColumn="1" w:lastColumn="0" w:noHBand="0" w:noVBand="1"/>
      </w:tblPr>
      <w:tblGrid>
        <w:gridCol w:w="3987"/>
        <w:gridCol w:w="3960"/>
        <w:gridCol w:w="3943"/>
        <w:gridCol w:w="3899"/>
      </w:tblGrid>
      <w:tr w:rsidR="000C7BBE">
        <w:trPr>
          <w:trHeight w:val="319"/>
        </w:trPr>
        <w:tc>
          <w:tcPr>
            <w:tcW w:w="15789" w:type="dxa"/>
            <w:gridSpan w:val="4"/>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0C7BBE">
        <w:trPr>
          <w:trHeight w:val="319"/>
        </w:trPr>
        <w:tc>
          <w:tcPr>
            <w:tcW w:w="15789" w:type="dxa"/>
            <w:gridSpan w:val="4"/>
          </w:tcPr>
          <w:p w:rsidR="000C7BBE" w:rsidRDefault="00557EDB">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0C7BBE">
        <w:trPr>
          <w:trHeight w:val="319"/>
        </w:trPr>
        <w:tc>
          <w:tcPr>
            <w:tcW w:w="11890" w:type="dxa"/>
            <w:gridSpan w:val="3"/>
          </w:tcPr>
          <w:p w:rsidR="000C7BBE" w:rsidRDefault="00557ED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899" w:type="dxa"/>
            <w:vAlign w:val="center"/>
          </w:tcPr>
          <w:p w:rsidR="000C7BBE" w:rsidRDefault="00557EDB">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0C7BBE">
        <w:trPr>
          <w:trHeight w:val="196"/>
        </w:trPr>
        <w:tc>
          <w:tcPr>
            <w:tcW w:w="7947" w:type="dxa"/>
            <w:gridSpan w:val="2"/>
            <w:tcBorders>
              <w:top w:val="single" w:sz="4" w:space="0" w:color="000000"/>
              <w:left w:val="single" w:sz="4" w:space="0" w:color="000000"/>
              <w:bottom w:val="single" w:sz="4" w:space="0" w:color="000000"/>
            </w:tcBorders>
          </w:tcPr>
          <w:p w:rsidR="000C7BBE" w:rsidRDefault="00557EDB">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0C7BBE" w:rsidRDefault="00557EDB">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0C7BBE">
        <w:trPr>
          <w:trHeight w:val="468"/>
        </w:trPr>
        <w:tc>
          <w:tcPr>
            <w:tcW w:w="398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0C7BBE" w:rsidRDefault="00557EDB">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12,217.39</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6,820.70</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1,682.01</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3,714.68</w:t>
            </w: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（三十）抗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lang w:val="en-US"/>
              </w:rPr>
            </w:pPr>
          </w:p>
        </w:tc>
      </w:tr>
      <w:tr w:rsidR="000C7BBE">
        <w:trPr>
          <w:cantSplit/>
          <w:trHeight w:hRule="exact" w:val="296"/>
        </w:trPr>
        <w:tc>
          <w:tcPr>
            <w:tcW w:w="398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0C7BBE" w:rsidRDefault="00557EDB">
            <w:pPr>
              <w:jc w:val="right"/>
              <w:rPr>
                <w:rFonts w:ascii="仿宋" w:eastAsia="仿宋" w:hAnsi="仿宋" w:cs="仿宋"/>
              </w:rPr>
            </w:pPr>
            <w:r>
              <w:rPr>
                <w:rFonts w:ascii="仿宋" w:eastAsia="仿宋" w:hAnsi="仿宋" w:cs="仿宋" w:hint="eastAsia"/>
              </w:rPr>
              <w:t>12,217.39</w:t>
            </w:r>
          </w:p>
        </w:tc>
        <w:tc>
          <w:tcPr>
            <w:tcW w:w="3943"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0C7BBE" w:rsidRDefault="00557EDB">
            <w:pPr>
              <w:jc w:val="right"/>
              <w:rPr>
                <w:rFonts w:ascii="仿宋" w:eastAsia="仿宋" w:hAnsi="仿宋" w:cs="仿宋"/>
              </w:rPr>
            </w:pPr>
            <w:r>
              <w:rPr>
                <w:rFonts w:ascii="仿宋" w:eastAsia="仿宋" w:hAnsi="仿宋" w:cs="仿宋" w:hint="eastAsia"/>
              </w:rPr>
              <w:t>12,217.39</w:t>
            </w:r>
          </w:p>
        </w:tc>
      </w:tr>
    </w:tbl>
    <w:p w:rsidR="000C7BBE" w:rsidRDefault="000C7BBE">
      <w:pPr>
        <w:ind w:leftChars="-100" w:left="-220"/>
        <w:rPr>
          <w:rFonts w:ascii="仿宋" w:eastAsia="仿宋" w:hAnsi="仿宋" w:cs="仿宋"/>
          <w:b/>
          <w:bCs/>
        </w:rPr>
        <w:sectPr w:rsidR="000C7BBE">
          <w:footerReference w:type="default" r:id="rId15"/>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846"/>
        <w:gridCol w:w="4213"/>
        <w:gridCol w:w="2040"/>
        <w:gridCol w:w="1827"/>
        <w:gridCol w:w="1813"/>
        <w:gridCol w:w="1813"/>
        <w:gridCol w:w="1664"/>
      </w:tblGrid>
      <w:tr w:rsidR="000C7BBE">
        <w:trPr>
          <w:trHeight w:val="321"/>
        </w:trPr>
        <w:tc>
          <w:tcPr>
            <w:tcW w:w="15216" w:type="dxa"/>
            <w:gridSpan w:val="7"/>
            <w:vAlign w:val="center"/>
          </w:tcPr>
          <w:p w:rsidR="000C7BBE" w:rsidRDefault="00557EDB">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0C7BBE">
        <w:trPr>
          <w:trHeight w:val="321"/>
        </w:trPr>
        <w:tc>
          <w:tcPr>
            <w:tcW w:w="15216" w:type="dxa"/>
            <w:gridSpan w:val="7"/>
          </w:tcPr>
          <w:p w:rsidR="000C7BBE" w:rsidRDefault="00557EDB">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0C7BBE">
        <w:trPr>
          <w:trHeight w:val="309"/>
        </w:trPr>
        <w:tc>
          <w:tcPr>
            <w:tcW w:w="13552" w:type="dxa"/>
            <w:gridSpan w:val="6"/>
          </w:tcPr>
          <w:p w:rsidR="000C7BBE" w:rsidRDefault="00557EDB">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1664" w:type="dxa"/>
            <w:vAlign w:val="center"/>
          </w:tcPr>
          <w:p w:rsidR="000C7BBE" w:rsidRDefault="00557EDB">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0C7BBE">
        <w:trPr>
          <w:trHeight w:val="319"/>
        </w:trPr>
        <w:tc>
          <w:tcPr>
            <w:tcW w:w="1846" w:type="dxa"/>
            <w:vMerge w:val="restart"/>
            <w:tcBorders>
              <w:top w:val="single" w:sz="6" w:space="0" w:color="000000"/>
              <w:lef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0C7BBE">
        <w:trPr>
          <w:trHeight w:val="296"/>
        </w:trPr>
        <w:tc>
          <w:tcPr>
            <w:tcW w:w="1846" w:type="dxa"/>
            <w:vMerge/>
            <w:tcBorders>
              <w:left w:val="single" w:sz="6" w:space="0" w:color="000000"/>
              <w:bottom w:val="single" w:sz="6" w:space="0" w:color="000000"/>
            </w:tcBorders>
            <w:vAlign w:val="center"/>
          </w:tcPr>
          <w:p w:rsidR="000C7BBE" w:rsidRDefault="000C7BBE">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0C7BBE" w:rsidRDefault="000C7BBE">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0C7BBE" w:rsidRDefault="000C7BBE">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0C7BBE" w:rsidRDefault="00557EDB">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0C7BBE" w:rsidRDefault="00557EDB">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0C7BBE" w:rsidRDefault="00557EDB">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0C7BBE" w:rsidRDefault="000C7BBE">
            <w:pPr>
              <w:spacing w:after="34" w:line="34" w:lineRule="atLeast"/>
              <w:rPr>
                <w:rFonts w:ascii="仿宋" w:eastAsia="仿宋" w:hAnsi="仿宋" w:cs="仿宋"/>
              </w:rPr>
            </w:pPr>
          </w:p>
        </w:tc>
      </w:tr>
      <w:tr w:rsidR="000C7BBE">
        <w:trPr>
          <w:trHeight w:hRule="exact" w:val="350"/>
        </w:trPr>
        <w:tc>
          <w:tcPr>
            <w:tcW w:w="6059" w:type="dxa"/>
            <w:gridSpan w:val="2"/>
            <w:tcBorders>
              <w:left w:val="single" w:sz="6" w:space="0" w:color="000000"/>
              <w:bottom w:val="single" w:sz="6" w:space="0" w:color="000000"/>
            </w:tcBorders>
            <w:vAlign w:val="center"/>
          </w:tcPr>
          <w:p w:rsidR="000C7BBE" w:rsidRDefault="00557EDB">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12,217.39</w:t>
            </w:r>
          </w:p>
        </w:tc>
        <w:tc>
          <w:tcPr>
            <w:tcW w:w="1827"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10,703.09</w:t>
            </w:r>
          </w:p>
        </w:tc>
        <w:tc>
          <w:tcPr>
            <w:tcW w:w="1813"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10,104.32</w:t>
            </w:r>
          </w:p>
        </w:tc>
        <w:tc>
          <w:tcPr>
            <w:tcW w:w="1813" w:type="dxa"/>
            <w:tcBorders>
              <w:left w:val="single" w:sz="6" w:space="0" w:color="000000"/>
              <w:bottom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598.77</w:t>
            </w:r>
          </w:p>
        </w:tc>
        <w:tc>
          <w:tcPr>
            <w:tcW w:w="1664" w:type="dxa"/>
            <w:tcBorders>
              <w:left w:val="single" w:sz="6" w:space="0" w:color="000000"/>
              <w:bottom w:val="single" w:sz="6" w:space="0" w:color="000000"/>
              <w:right w:val="single" w:sz="6" w:space="0" w:color="000000"/>
            </w:tcBorders>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6,820.70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4,750.12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556.28</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6,820.70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4,750.12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556.28</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2010401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5,306.40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4,750.12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556.28</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2010402</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1,639.52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42.49</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1,682.01</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1,639.52</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42.49</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745.89</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745.89</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703.40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42.49</w:t>
            </w: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624.08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624.08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624.08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312.04</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312.04</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312.04</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3,714.68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793.50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793.50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793.50</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r w:rsidR="000C7BBE">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2,921.18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2,921.18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spacing w:after="34" w:line="34" w:lineRule="atLeast"/>
              <w:jc w:val="right"/>
              <w:rPr>
                <w:rFonts w:ascii="仿宋" w:eastAsia="仿宋" w:hAnsi="仿宋" w:cs="仿宋"/>
              </w:rPr>
            </w:pPr>
            <w:r>
              <w:rPr>
                <w:rFonts w:ascii="仿宋" w:eastAsia="仿宋" w:hAnsi="仿宋" w:cs="仿宋" w:hint="eastAsia"/>
              </w:rPr>
              <w:t>2,921.18</w:t>
            </w:r>
          </w:p>
        </w:tc>
        <w:tc>
          <w:tcPr>
            <w:tcW w:w="181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spacing w:after="34" w:line="34" w:lineRule="atLeast"/>
              <w:jc w:val="right"/>
              <w:rPr>
                <w:rFonts w:ascii="仿宋" w:eastAsia="仿宋" w:hAnsi="仿宋" w:cs="仿宋"/>
              </w:rPr>
            </w:pPr>
          </w:p>
        </w:tc>
      </w:tr>
    </w:tbl>
    <w:p w:rsidR="000C7BBE" w:rsidRDefault="000C7BBE">
      <w:pPr>
        <w:tabs>
          <w:tab w:val="left" w:pos="55"/>
        </w:tabs>
        <w:jc w:val="both"/>
        <w:rPr>
          <w:rFonts w:ascii="仿宋" w:eastAsia="仿宋" w:hAnsi="仿宋" w:cs="仿宋"/>
          <w:b/>
          <w:bCs/>
        </w:rPr>
        <w:sectPr w:rsidR="000C7BBE">
          <w:footerReference w:type="default" r:id="rId16"/>
          <w:pgSz w:w="16838" w:h="11906" w:orient="landscape"/>
          <w:pgMar w:top="720" w:right="720" w:bottom="720" w:left="720" w:header="170" w:footer="280" w:gutter="0"/>
          <w:pgNumType w:fmt="numberInDash"/>
          <w:cols w:space="720"/>
          <w:formProt w:val="0"/>
          <w:docGrid w:linePitch="100"/>
        </w:sectPr>
      </w:pPr>
    </w:p>
    <w:p w:rsidR="000C7BBE" w:rsidRDefault="000C7BBE">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firstRow="1" w:lastRow="0" w:firstColumn="1" w:lastColumn="0" w:noHBand="0" w:noVBand="1"/>
      </w:tblPr>
      <w:tblGrid>
        <w:gridCol w:w="1131"/>
        <w:gridCol w:w="3542"/>
        <w:gridCol w:w="2047"/>
        <w:gridCol w:w="2040"/>
        <w:gridCol w:w="2057"/>
      </w:tblGrid>
      <w:tr w:rsidR="000C7BBE">
        <w:trPr>
          <w:trHeight w:val="319"/>
        </w:trPr>
        <w:tc>
          <w:tcPr>
            <w:tcW w:w="10817" w:type="dxa"/>
            <w:gridSpan w:val="5"/>
            <w:vAlign w:val="center"/>
          </w:tcPr>
          <w:p w:rsidR="000C7BBE" w:rsidRDefault="00557EDB">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0C7BBE">
        <w:trPr>
          <w:trHeight w:val="319"/>
        </w:trPr>
        <w:tc>
          <w:tcPr>
            <w:tcW w:w="10817" w:type="dxa"/>
            <w:gridSpan w:val="5"/>
          </w:tcPr>
          <w:p w:rsidR="000C7BBE" w:rsidRDefault="00557EDB">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0C7BBE">
        <w:trPr>
          <w:trHeight w:val="319"/>
        </w:trPr>
        <w:tc>
          <w:tcPr>
            <w:tcW w:w="8760" w:type="dxa"/>
            <w:gridSpan w:val="4"/>
          </w:tcPr>
          <w:p w:rsidR="000C7BBE" w:rsidRDefault="00557ED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2057" w:type="dxa"/>
            <w:vAlign w:val="center"/>
          </w:tcPr>
          <w:p w:rsidR="000C7BBE" w:rsidRDefault="00557EDB">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0C7BBE">
        <w:trPr>
          <w:trHeight w:val="243"/>
        </w:trPr>
        <w:tc>
          <w:tcPr>
            <w:tcW w:w="4673" w:type="dxa"/>
            <w:gridSpan w:val="2"/>
            <w:tcBorders>
              <w:top w:val="single" w:sz="4" w:space="0" w:color="000000"/>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0C7BBE">
        <w:trPr>
          <w:trHeight w:val="267"/>
        </w:trPr>
        <w:tc>
          <w:tcPr>
            <w:tcW w:w="1131"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公用经费</w:t>
            </w:r>
          </w:p>
        </w:tc>
      </w:tr>
      <w:tr w:rsidR="000C7BBE">
        <w:trPr>
          <w:trHeight w:hRule="exact" w:val="350"/>
        </w:trPr>
        <w:tc>
          <w:tcPr>
            <w:tcW w:w="4673" w:type="dxa"/>
            <w:gridSpan w:val="2"/>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2040"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10,104.32</w:t>
            </w:r>
          </w:p>
        </w:tc>
        <w:tc>
          <w:tcPr>
            <w:tcW w:w="2057" w:type="dxa"/>
            <w:tcBorders>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40"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2057"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bl>
    <w:p w:rsidR="000C7BBE" w:rsidRDefault="000C7BBE">
      <w:pPr>
        <w:spacing w:line="255" w:lineRule="exact"/>
        <w:rPr>
          <w:rFonts w:ascii="仿宋" w:eastAsia="仿宋" w:hAnsi="仿宋" w:cs="仿宋"/>
          <w:b/>
          <w:bCs/>
        </w:rPr>
        <w:sectPr w:rsidR="000C7BBE">
          <w:footerReference w:type="default" r:id="rId17"/>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firstRow="1" w:lastRow="0" w:firstColumn="1" w:lastColumn="0" w:noHBand="0" w:noVBand="1"/>
      </w:tblPr>
      <w:tblGrid>
        <w:gridCol w:w="1792"/>
        <w:gridCol w:w="4307"/>
        <w:gridCol w:w="1960"/>
        <w:gridCol w:w="1693"/>
        <w:gridCol w:w="1987"/>
        <w:gridCol w:w="1827"/>
        <w:gridCol w:w="1650"/>
      </w:tblGrid>
      <w:tr w:rsidR="000C7BBE">
        <w:trPr>
          <w:trHeight w:val="321"/>
        </w:trPr>
        <w:tc>
          <w:tcPr>
            <w:tcW w:w="15216" w:type="dxa"/>
            <w:gridSpan w:val="7"/>
            <w:vAlign w:val="center"/>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0C7BBE">
        <w:trPr>
          <w:trHeight w:val="321"/>
        </w:trPr>
        <w:tc>
          <w:tcPr>
            <w:tcW w:w="15216" w:type="dxa"/>
            <w:gridSpan w:val="7"/>
          </w:tcPr>
          <w:p w:rsidR="000C7BBE" w:rsidRDefault="00557EDB">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0C7BBE">
        <w:trPr>
          <w:trHeight w:val="288"/>
        </w:trPr>
        <w:tc>
          <w:tcPr>
            <w:tcW w:w="13566" w:type="dxa"/>
            <w:gridSpan w:val="6"/>
          </w:tcPr>
          <w:p w:rsidR="000C7BBE" w:rsidRDefault="00557EDB">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1650" w:type="dxa"/>
            <w:vAlign w:val="center"/>
          </w:tcPr>
          <w:p w:rsidR="000C7BBE" w:rsidRDefault="00557EDB">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0C7BBE">
        <w:trPr>
          <w:trHeight w:val="319"/>
        </w:trPr>
        <w:tc>
          <w:tcPr>
            <w:tcW w:w="1792" w:type="dxa"/>
            <w:vMerge w:val="restart"/>
            <w:tcBorders>
              <w:top w:val="single" w:sz="6" w:space="0" w:color="000000"/>
              <w:lef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项目支出</w:t>
            </w:r>
          </w:p>
        </w:tc>
      </w:tr>
      <w:tr w:rsidR="000C7BBE">
        <w:trPr>
          <w:trHeight w:val="341"/>
        </w:trPr>
        <w:tc>
          <w:tcPr>
            <w:tcW w:w="1792" w:type="dxa"/>
            <w:vMerge/>
            <w:tcBorders>
              <w:left w:val="single" w:sz="6" w:space="0" w:color="000000"/>
              <w:bottom w:val="single" w:sz="6" w:space="0" w:color="000000"/>
            </w:tcBorders>
            <w:vAlign w:val="center"/>
          </w:tcPr>
          <w:p w:rsidR="000C7BBE" w:rsidRDefault="000C7BBE">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0C7BBE" w:rsidRDefault="000C7BBE">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0C7BBE" w:rsidRDefault="000C7BBE">
            <w:pPr>
              <w:rPr>
                <w:rFonts w:ascii="仿宋" w:eastAsia="仿宋" w:hAnsi="仿宋" w:cs="仿宋"/>
              </w:rPr>
            </w:pPr>
          </w:p>
        </w:tc>
        <w:tc>
          <w:tcPr>
            <w:tcW w:w="1693" w:type="dxa"/>
            <w:tcBorders>
              <w:left w:val="single" w:sz="6" w:space="0" w:color="000000"/>
              <w:bottom w:val="single" w:sz="6" w:space="0" w:color="000000"/>
            </w:tcBorders>
            <w:vAlign w:val="center"/>
          </w:tcPr>
          <w:p w:rsidR="000C7BBE" w:rsidRDefault="00557EDB">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0C7BBE" w:rsidRDefault="00557EDB">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0C7BBE" w:rsidRDefault="00557EDB">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0C7BBE" w:rsidRDefault="000C7BBE">
            <w:pPr>
              <w:rPr>
                <w:rFonts w:ascii="仿宋" w:eastAsia="仿宋" w:hAnsi="仿宋" w:cs="仿宋"/>
              </w:rPr>
            </w:pPr>
          </w:p>
        </w:tc>
      </w:tr>
      <w:tr w:rsidR="000C7BBE">
        <w:trPr>
          <w:trHeight w:hRule="exact" w:val="378"/>
        </w:trPr>
        <w:tc>
          <w:tcPr>
            <w:tcW w:w="6099" w:type="dxa"/>
            <w:gridSpan w:val="2"/>
            <w:tcBorders>
              <w:left w:val="single" w:sz="6" w:space="0" w:color="000000"/>
              <w:bottom w:val="single" w:sz="6"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12,217.39</w:t>
            </w:r>
          </w:p>
        </w:tc>
        <w:tc>
          <w:tcPr>
            <w:tcW w:w="1693"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1987"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10,104.32</w:t>
            </w:r>
          </w:p>
        </w:tc>
        <w:tc>
          <w:tcPr>
            <w:tcW w:w="1827" w:type="dxa"/>
            <w:tcBorders>
              <w:left w:val="single" w:sz="6" w:space="0" w:color="000000"/>
              <w:bottom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598.77</w:t>
            </w:r>
          </w:p>
        </w:tc>
        <w:tc>
          <w:tcPr>
            <w:tcW w:w="1650" w:type="dxa"/>
            <w:tcBorders>
              <w:left w:val="single" w:sz="6" w:space="0" w:color="000000"/>
              <w:bottom w:val="single" w:sz="6" w:space="0" w:color="000000"/>
              <w:right w:val="single" w:sz="6" w:space="0" w:color="000000"/>
            </w:tcBorders>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4,750.12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556.28</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6,820.70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4,750.12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556.28</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2010401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5,306.40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4,750.12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556.28</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2010402</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1,514.30</w:t>
            </w: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1,639.52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42.49</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1,682.01</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1,639.52</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42.49</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745.89</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703.40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42.49</w:t>
            </w: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3,714.68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693"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987" w:type="dxa"/>
            <w:tcBorders>
              <w:top w:val="single" w:sz="6" w:space="0" w:color="000000"/>
              <w:left w:val="single" w:sz="4" w:space="0" w:color="000000"/>
              <w:bottom w:val="single" w:sz="6"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2,921.18</w:t>
            </w:r>
          </w:p>
        </w:tc>
        <w:tc>
          <w:tcPr>
            <w:tcW w:w="1827" w:type="dxa"/>
            <w:tcBorders>
              <w:top w:val="single" w:sz="6" w:space="0" w:color="000000"/>
              <w:left w:val="single" w:sz="4" w:space="0" w:color="000000"/>
              <w:bottom w:val="single" w:sz="6"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0C7BBE" w:rsidRDefault="000C7BBE">
            <w:pPr>
              <w:pStyle w:val="TableParagraph"/>
              <w:jc w:val="right"/>
              <w:rPr>
                <w:rFonts w:ascii="仿宋" w:eastAsia="仿宋" w:hAnsi="仿宋" w:cs="仿宋"/>
              </w:rPr>
            </w:pPr>
          </w:p>
        </w:tc>
      </w:tr>
    </w:tbl>
    <w:p w:rsidR="000C7BBE" w:rsidRDefault="000C7BBE">
      <w:pPr>
        <w:spacing w:before="25"/>
        <w:rPr>
          <w:rFonts w:ascii="仿宋" w:eastAsia="仿宋" w:hAnsi="仿宋" w:cs="仿宋"/>
          <w:b/>
          <w:bCs/>
        </w:rPr>
        <w:sectPr w:rsidR="000C7BBE">
          <w:footerReference w:type="default" r:id="rId18"/>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firstRow="1" w:lastRow="0" w:firstColumn="1" w:lastColumn="0" w:noHBand="0" w:noVBand="1"/>
      </w:tblPr>
      <w:tblGrid>
        <w:gridCol w:w="1227"/>
        <w:gridCol w:w="3667"/>
        <w:gridCol w:w="2413"/>
        <w:gridCol w:w="1974"/>
        <w:gridCol w:w="1673"/>
      </w:tblGrid>
      <w:tr w:rsidR="000C7BBE">
        <w:trPr>
          <w:trHeight w:val="319"/>
        </w:trPr>
        <w:tc>
          <w:tcPr>
            <w:tcW w:w="10954" w:type="dxa"/>
            <w:gridSpan w:val="5"/>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0C7BBE">
        <w:trPr>
          <w:trHeight w:val="189"/>
        </w:trPr>
        <w:tc>
          <w:tcPr>
            <w:tcW w:w="10954" w:type="dxa"/>
            <w:gridSpan w:val="5"/>
          </w:tcPr>
          <w:p w:rsidR="000C7BBE" w:rsidRDefault="00557EDB">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0C7BBE">
        <w:trPr>
          <w:trHeight w:val="138"/>
        </w:trPr>
        <w:tc>
          <w:tcPr>
            <w:tcW w:w="9281" w:type="dxa"/>
            <w:gridSpan w:val="4"/>
            <w:vAlign w:val="center"/>
          </w:tcPr>
          <w:p w:rsidR="000C7BBE" w:rsidRDefault="00557ED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1673" w:type="dxa"/>
            <w:vAlign w:val="center"/>
          </w:tcPr>
          <w:p w:rsidR="000C7BBE" w:rsidRDefault="00557EDB">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0C7BBE">
        <w:trPr>
          <w:trHeight w:val="180"/>
        </w:trPr>
        <w:tc>
          <w:tcPr>
            <w:tcW w:w="4894" w:type="dxa"/>
            <w:gridSpan w:val="2"/>
            <w:tcBorders>
              <w:top w:val="single" w:sz="4" w:space="0" w:color="000000"/>
              <w:left w:val="single" w:sz="4" w:space="0" w:color="000000"/>
              <w:bottom w:val="single" w:sz="4" w:space="0" w:color="000000"/>
            </w:tcBorders>
            <w:vAlign w:val="center"/>
          </w:tcPr>
          <w:p w:rsidR="000C7BBE" w:rsidRDefault="00557EDB">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0C7BBE" w:rsidRDefault="00557EDB">
            <w:pPr>
              <w:jc w:val="center"/>
              <w:rPr>
                <w:rFonts w:ascii="仿宋" w:eastAsia="仿宋" w:hAnsi="仿宋" w:cs="仿宋"/>
              </w:rPr>
            </w:pPr>
            <w:r>
              <w:rPr>
                <w:rFonts w:ascii="仿宋" w:eastAsia="仿宋" w:hAnsi="仿宋" w:cs="仿宋" w:hint="eastAsia"/>
              </w:rPr>
              <w:t>本年一般公共预算基本支出</w:t>
            </w:r>
          </w:p>
        </w:tc>
      </w:tr>
      <w:tr w:rsidR="000C7BBE">
        <w:trPr>
          <w:trHeight w:val="190"/>
        </w:trPr>
        <w:tc>
          <w:tcPr>
            <w:tcW w:w="122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公用经费</w:t>
            </w:r>
          </w:p>
        </w:tc>
      </w:tr>
      <w:tr w:rsidR="000C7BBE">
        <w:trPr>
          <w:trHeight w:hRule="exact" w:val="382"/>
        </w:trPr>
        <w:tc>
          <w:tcPr>
            <w:tcW w:w="4894" w:type="dxa"/>
            <w:gridSpan w:val="2"/>
            <w:tcBorders>
              <w:left w:val="single" w:sz="4" w:space="0" w:color="000000"/>
              <w:bottom w:val="single" w:sz="4" w:space="0" w:color="000000"/>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10,703.09</w:t>
            </w:r>
          </w:p>
        </w:tc>
        <w:tc>
          <w:tcPr>
            <w:tcW w:w="1974" w:type="dxa"/>
            <w:tcBorders>
              <w:left w:val="single" w:sz="4" w:space="0" w:color="000000"/>
              <w:bottom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10,104.32</w:t>
            </w:r>
          </w:p>
        </w:tc>
        <w:tc>
          <w:tcPr>
            <w:tcW w:w="1673" w:type="dxa"/>
            <w:tcBorders>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7,864.98</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1,260.22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2,947.02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1,419.60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624.08</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312.04</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282.10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793.50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156.02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62.60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2,035.34</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95.54</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1,928.10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2.52</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9.18</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r w:rsidR="000C7BBE">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974" w:type="dxa"/>
            <w:tcBorders>
              <w:top w:val="single" w:sz="4" w:space="0" w:color="000000"/>
              <w:left w:val="single" w:sz="4" w:space="0" w:color="000000"/>
              <w:bottom w:val="single" w:sz="4" w:space="0" w:color="000000"/>
              <w:right w:val="single" w:sz="4" w:space="0" w:color="000000"/>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204.00</w:t>
            </w:r>
          </w:p>
        </w:tc>
        <w:tc>
          <w:tcPr>
            <w:tcW w:w="1673" w:type="dxa"/>
            <w:tcBorders>
              <w:top w:val="single" w:sz="4" w:space="0" w:color="000000"/>
              <w:left w:val="single" w:sz="4" w:space="0" w:color="000000"/>
              <w:bottom w:val="single" w:sz="4" w:space="0" w:color="000000"/>
              <w:right w:val="single" w:sz="4" w:space="0" w:color="000000"/>
            </w:tcBorders>
            <w:vAlign w:val="center"/>
          </w:tcPr>
          <w:p w:rsidR="000C7BBE" w:rsidRDefault="000C7BBE">
            <w:pPr>
              <w:pStyle w:val="TableParagraph"/>
              <w:jc w:val="right"/>
              <w:rPr>
                <w:rFonts w:ascii="仿宋" w:eastAsia="仿宋" w:hAnsi="仿宋" w:cs="仿宋"/>
              </w:rPr>
            </w:pPr>
          </w:p>
        </w:tc>
      </w:tr>
    </w:tbl>
    <w:p w:rsidR="000C7BBE" w:rsidRDefault="000C7BBE">
      <w:pPr>
        <w:spacing w:before="25"/>
        <w:rPr>
          <w:rFonts w:ascii="仿宋" w:eastAsia="仿宋" w:hAnsi="仿宋" w:cs="仿宋"/>
          <w:b/>
          <w:bCs/>
        </w:rPr>
        <w:sectPr w:rsidR="000C7BBE">
          <w:footerReference w:type="default" r:id="rId19"/>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firstRow="1" w:lastRow="0" w:firstColumn="1" w:lastColumn="0" w:noHBand="0" w:noVBand="1"/>
      </w:tblPr>
      <w:tblGrid>
        <w:gridCol w:w="2471"/>
        <w:gridCol w:w="2332"/>
        <w:gridCol w:w="2037"/>
        <w:gridCol w:w="1697"/>
        <w:gridCol w:w="1680"/>
        <w:gridCol w:w="1852"/>
        <w:gridCol w:w="2057"/>
        <w:gridCol w:w="1783"/>
      </w:tblGrid>
      <w:tr w:rsidR="000C7BBE">
        <w:trPr>
          <w:trHeight w:val="321"/>
        </w:trPr>
        <w:tc>
          <w:tcPr>
            <w:tcW w:w="15909" w:type="dxa"/>
            <w:gridSpan w:val="8"/>
          </w:tcPr>
          <w:p w:rsidR="000C7BBE" w:rsidRDefault="00557EDB">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0C7BBE">
        <w:trPr>
          <w:trHeight w:val="207"/>
        </w:trPr>
        <w:tc>
          <w:tcPr>
            <w:tcW w:w="15909" w:type="dxa"/>
            <w:gridSpan w:val="8"/>
          </w:tcPr>
          <w:p w:rsidR="000C7BBE" w:rsidRDefault="00557EDB">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0C7BBE">
        <w:trPr>
          <w:trHeight w:val="103"/>
        </w:trPr>
        <w:tc>
          <w:tcPr>
            <w:tcW w:w="12069" w:type="dxa"/>
            <w:gridSpan w:val="6"/>
            <w:tcBorders>
              <w:bottom w:val="single" w:sz="4" w:space="0" w:color="auto"/>
            </w:tcBorders>
          </w:tcPr>
          <w:p w:rsidR="000C7BBE" w:rsidRDefault="00557ED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840" w:type="dxa"/>
            <w:gridSpan w:val="2"/>
            <w:tcBorders>
              <w:bottom w:val="single" w:sz="4" w:space="0" w:color="auto"/>
            </w:tcBorders>
            <w:vAlign w:val="center"/>
          </w:tcPr>
          <w:p w:rsidR="000C7BBE" w:rsidRDefault="00557EDB">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0C7BBE">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sz w:val="20"/>
              </w:rPr>
            </w:pPr>
            <w:r>
              <w:rPr>
                <w:rFonts w:ascii="仿宋" w:eastAsia="仿宋" w:hAnsi="仿宋" w:cs="仿宋" w:hint="eastAsia"/>
              </w:rPr>
              <w:t>培训费</w:t>
            </w:r>
          </w:p>
        </w:tc>
      </w:tr>
      <w:tr w:rsidR="000C7BBE">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0C7BBE" w:rsidRDefault="000C7BBE">
            <w:pPr>
              <w:rPr>
                <w:rFonts w:ascii="仿宋" w:eastAsia="仿宋" w:hAnsi="仿宋" w:cs="仿宋"/>
                <w:sz w:val="2"/>
                <w:szCs w:val="2"/>
              </w:rPr>
            </w:pPr>
          </w:p>
        </w:tc>
      </w:tr>
      <w:tr w:rsidR="000C7BBE">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18.31</w:t>
            </w:r>
          </w:p>
        </w:tc>
        <w:tc>
          <w:tcPr>
            <w:tcW w:w="2332"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169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c>
          <w:tcPr>
            <w:tcW w:w="1852"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c>
          <w:tcPr>
            <w:tcW w:w="2057"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117.54</w:t>
            </w:r>
          </w:p>
        </w:tc>
      </w:tr>
    </w:tbl>
    <w:p w:rsidR="000C7BBE" w:rsidRDefault="000C7BBE">
      <w:pPr>
        <w:ind w:left="227" w:firstLineChars="100" w:firstLine="221"/>
        <w:rPr>
          <w:rFonts w:ascii="仿宋" w:eastAsia="仿宋" w:hAnsi="仿宋" w:cs="仿宋"/>
          <w:b/>
          <w:bCs/>
        </w:rPr>
        <w:sectPr w:rsidR="000C7BBE">
          <w:footerReference w:type="default" r:id="rId20"/>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firstRow="1" w:lastRow="0" w:firstColumn="1" w:lastColumn="0" w:noHBand="0" w:noVBand="1"/>
      </w:tblPr>
      <w:tblGrid>
        <w:gridCol w:w="1618"/>
        <w:gridCol w:w="2834"/>
        <w:gridCol w:w="1783"/>
        <w:gridCol w:w="2092"/>
        <w:gridCol w:w="2485"/>
      </w:tblGrid>
      <w:tr w:rsidR="000C7BBE">
        <w:trPr>
          <w:trHeight w:val="213"/>
        </w:trPr>
        <w:tc>
          <w:tcPr>
            <w:tcW w:w="10812" w:type="dxa"/>
            <w:gridSpan w:val="5"/>
            <w:tcBorders>
              <w:top w:val="nil"/>
              <w:left w:val="nil"/>
              <w:bottom w:val="nil"/>
              <w:right w:val="nil"/>
            </w:tcBorders>
            <w:vAlign w:val="center"/>
          </w:tcPr>
          <w:p w:rsidR="000C7BBE" w:rsidRDefault="00557EDB">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0C7BBE">
        <w:trPr>
          <w:trHeight w:val="213"/>
        </w:trPr>
        <w:tc>
          <w:tcPr>
            <w:tcW w:w="10812" w:type="dxa"/>
            <w:gridSpan w:val="5"/>
            <w:tcBorders>
              <w:top w:val="nil"/>
              <w:left w:val="nil"/>
              <w:bottom w:val="nil"/>
              <w:right w:val="nil"/>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0C7BBE">
        <w:trPr>
          <w:trHeight w:val="213"/>
        </w:trPr>
        <w:tc>
          <w:tcPr>
            <w:tcW w:w="8327" w:type="dxa"/>
            <w:gridSpan w:val="4"/>
            <w:tcBorders>
              <w:top w:val="nil"/>
              <w:left w:val="nil"/>
              <w:bottom w:val="single" w:sz="4" w:space="0" w:color="auto"/>
              <w:right w:val="nil"/>
            </w:tcBorders>
            <w:vAlign w:val="center"/>
          </w:tcPr>
          <w:p w:rsidR="000C7BBE" w:rsidRDefault="00557ED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2485" w:type="dxa"/>
            <w:tcBorders>
              <w:top w:val="nil"/>
              <w:left w:val="nil"/>
              <w:bottom w:val="single" w:sz="4" w:space="0" w:color="auto"/>
              <w:right w:val="nil"/>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单位：万元</w:t>
            </w:r>
          </w:p>
        </w:tc>
      </w:tr>
      <w:tr w:rsidR="000C7BBE">
        <w:trPr>
          <w:trHeight w:val="187"/>
        </w:trPr>
        <w:tc>
          <w:tcPr>
            <w:tcW w:w="1618" w:type="dxa"/>
            <w:vMerge w:val="restart"/>
            <w:tcBorders>
              <w:top w:val="single" w:sz="4" w:space="0" w:color="auto"/>
              <w:left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本年政府性基金预算支出</w:t>
            </w:r>
          </w:p>
        </w:tc>
      </w:tr>
      <w:tr w:rsidR="000C7BBE">
        <w:trPr>
          <w:trHeight w:val="139"/>
        </w:trPr>
        <w:tc>
          <w:tcPr>
            <w:tcW w:w="1618" w:type="dxa"/>
            <w:vMerge/>
            <w:tcBorders>
              <w:left w:val="single" w:sz="4" w:space="0" w:color="auto"/>
              <w:bottom w:val="single" w:sz="4" w:space="0" w:color="auto"/>
              <w:right w:val="single" w:sz="4" w:space="0" w:color="auto"/>
            </w:tcBorders>
            <w:vAlign w:val="center"/>
          </w:tcPr>
          <w:p w:rsidR="000C7BBE" w:rsidRDefault="000C7BBE">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0C7BBE" w:rsidRDefault="000C7BBE">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项目支出</w:t>
            </w:r>
          </w:p>
        </w:tc>
      </w:tr>
      <w:tr w:rsidR="000C7BBE">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0C7BBE" w:rsidRDefault="000C7BBE">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r>
      <w:tr w:rsidR="000C7BBE">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r>
      <w:tr w:rsidR="000C7BBE">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0C7BBE" w:rsidRDefault="000C7BBE">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0C7BBE" w:rsidRDefault="000C7BBE">
            <w:pPr>
              <w:jc w:val="right"/>
              <w:rPr>
                <w:rFonts w:ascii="仿宋" w:eastAsia="仿宋" w:hAnsi="仿宋" w:cs="仿宋"/>
              </w:rPr>
            </w:pPr>
          </w:p>
        </w:tc>
      </w:tr>
    </w:tbl>
    <w:p w:rsidR="000C7BBE" w:rsidRDefault="00557EDB">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0C7BBE" w:rsidRDefault="000C7BBE">
      <w:pPr>
        <w:spacing w:before="25"/>
        <w:rPr>
          <w:rFonts w:ascii="仿宋" w:eastAsia="仿宋" w:hAnsi="仿宋" w:cs="仿宋"/>
          <w:b/>
          <w:bCs/>
          <w:lang w:val="en-US"/>
        </w:rPr>
        <w:sectPr w:rsidR="000C7BBE">
          <w:footerReference w:type="default" r:id="rId21"/>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firstRow="1" w:lastRow="0" w:firstColumn="1" w:lastColumn="0" w:noHBand="0" w:noVBand="1"/>
      </w:tblPr>
      <w:tblGrid>
        <w:gridCol w:w="1596"/>
        <w:gridCol w:w="3803"/>
        <w:gridCol w:w="3111"/>
        <w:gridCol w:w="3094"/>
        <w:gridCol w:w="3091"/>
      </w:tblGrid>
      <w:tr w:rsidR="000C7BBE">
        <w:trPr>
          <w:trHeight w:val="447"/>
          <w:jc w:val="center"/>
        </w:trPr>
        <w:tc>
          <w:tcPr>
            <w:tcW w:w="14695" w:type="dxa"/>
            <w:gridSpan w:val="5"/>
            <w:tcBorders>
              <w:top w:val="nil"/>
              <w:left w:val="nil"/>
              <w:bottom w:val="nil"/>
              <w:right w:val="nil"/>
            </w:tcBorders>
            <w:shd w:val="clear" w:color="auto" w:fill="auto"/>
            <w:vAlign w:val="center"/>
          </w:tcPr>
          <w:p w:rsidR="000C7BBE" w:rsidRDefault="00557EDB">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0C7BBE">
        <w:trPr>
          <w:trHeight w:val="960"/>
          <w:jc w:val="center"/>
        </w:trPr>
        <w:tc>
          <w:tcPr>
            <w:tcW w:w="14695" w:type="dxa"/>
            <w:gridSpan w:val="5"/>
            <w:tcBorders>
              <w:top w:val="nil"/>
              <w:left w:val="nil"/>
              <w:bottom w:val="nil"/>
              <w:right w:val="nil"/>
            </w:tcBorders>
            <w:shd w:val="clear" w:color="auto" w:fill="auto"/>
            <w:vAlign w:val="center"/>
          </w:tcPr>
          <w:p w:rsidR="000C7BBE" w:rsidRDefault="00557EDB">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0C7BBE">
        <w:trPr>
          <w:trHeight w:val="319"/>
          <w:jc w:val="center"/>
        </w:trPr>
        <w:tc>
          <w:tcPr>
            <w:tcW w:w="11604" w:type="dxa"/>
            <w:gridSpan w:val="4"/>
            <w:tcBorders>
              <w:top w:val="nil"/>
              <w:left w:val="nil"/>
              <w:bottom w:val="single" w:sz="4" w:space="0" w:color="auto"/>
              <w:right w:val="nil"/>
            </w:tcBorders>
            <w:shd w:val="clear" w:color="auto" w:fill="auto"/>
            <w:vAlign w:val="center"/>
          </w:tcPr>
          <w:p w:rsidR="000C7BBE" w:rsidRDefault="00557EDB">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3091" w:type="dxa"/>
            <w:tcBorders>
              <w:top w:val="nil"/>
              <w:left w:val="nil"/>
              <w:bottom w:val="nil"/>
              <w:right w:val="nil"/>
            </w:tcBorders>
            <w:shd w:val="clear" w:color="auto" w:fill="auto"/>
            <w:noWrap/>
            <w:vAlign w:val="center"/>
          </w:tcPr>
          <w:p w:rsidR="000C7BBE" w:rsidRDefault="00557EDB">
            <w:pPr>
              <w:widowControl/>
              <w:jc w:val="right"/>
              <w:rPr>
                <w:rFonts w:ascii="仿宋" w:eastAsia="仿宋" w:hAnsi="仿宋" w:cs="仿宋"/>
              </w:rPr>
            </w:pPr>
            <w:r>
              <w:rPr>
                <w:rFonts w:ascii="仿宋" w:eastAsia="仿宋" w:hAnsi="仿宋" w:cs="仿宋" w:hint="eastAsia"/>
              </w:rPr>
              <w:t>单位：万元</w:t>
            </w:r>
          </w:p>
        </w:tc>
      </w:tr>
      <w:tr w:rsidR="000C7BBE">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项目支出</w:t>
            </w:r>
          </w:p>
        </w:tc>
      </w:tr>
      <w:tr w:rsidR="000C7BBE">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功能分类</w:t>
            </w:r>
          </w:p>
          <w:p w:rsidR="000C7BBE" w:rsidRDefault="00557EDB">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0C7BBE" w:rsidRDefault="000C7BBE">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0C7BBE" w:rsidRDefault="000C7BBE">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0C7BBE" w:rsidRDefault="000C7BBE">
            <w:pPr>
              <w:widowControl/>
              <w:spacing w:line="34" w:lineRule="atLeast"/>
              <w:rPr>
                <w:rFonts w:ascii="仿宋" w:eastAsia="仿宋" w:hAnsi="仿宋" w:cs="仿宋"/>
              </w:rPr>
            </w:pPr>
          </w:p>
        </w:tc>
      </w:tr>
      <w:tr w:rsidR="000C7BBE">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3</w:t>
            </w:r>
          </w:p>
        </w:tc>
      </w:tr>
      <w:tr w:rsidR="000C7BBE">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557EDB">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r>
      <w:tr w:rsidR="000C7BBE">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r>
      <w:tr w:rsidR="000C7BBE">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0C7BBE" w:rsidRDefault="000C7BBE">
            <w:pPr>
              <w:widowControl/>
              <w:spacing w:line="34" w:lineRule="atLeast"/>
              <w:jc w:val="center"/>
              <w:rPr>
                <w:rFonts w:ascii="仿宋" w:eastAsia="仿宋" w:hAnsi="仿宋" w:cs="仿宋"/>
              </w:rPr>
            </w:pPr>
          </w:p>
        </w:tc>
      </w:tr>
    </w:tbl>
    <w:p w:rsidR="000C7BBE" w:rsidRDefault="00557EDB">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0C7BBE" w:rsidRDefault="000C7BBE">
      <w:pPr>
        <w:spacing w:before="25"/>
        <w:rPr>
          <w:rFonts w:ascii="仿宋" w:eastAsia="仿宋" w:hAnsi="仿宋" w:cs="仿宋"/>
          <w:b/>
          <w:bCs/>
          <w:lang w:val="en-US"/>
        </w:rPr>
        <w:sectPr w:rsidR="000C7BBE">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firstRow="1" w:lastRow="0" w:firstColumn="1" w:lastColumn="0" w:noHBand="0" w:noVBand="1"/>
      </w:tblPr>
      <w:tblGrid>
        <w:gridCol w:w="3088"/>
        <w:gridCol w:w="2876"/>
        <w:gridCol w:w="1920"/>
        <w:gridCol w:w="2351"/>
      </w:tblGrid>
      <w:tr w:rsidR="000C7BBE">
        <w:trPr>
          <w:trHeight w:val="319"/>
        </w:trPr>
        <w:tc>
          <w:tcPr>
            <w:tcW w:w="10235" w:type="dxa"/>
            <w:gridSpan w:val="4"/>
          </w:tcPr>
          <w:p w:rsidR="000C7BBE" w:rsidRDefault="00557EDB">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0C7BBE">
        <w:trPr>
          <w:trHeight w:val="90"/>
        </w:trPr>
        <w:tc>
          <w:tcPr>
            <w:tcW w:w="10235" w:type="dxa"/>
            <w:gridSpan w:val="4"/>
          </w:tcPr>
          <w:p w:rsidR="000C7BBE" w:rsidRDefault="00557EDB">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0C7BBE">
        <w:trPr>
          <w:trHeight w:val="90"/>
        </w:trPr>
        <w:tc>
          <w:tcPr>
            <w:tcW w:w="7884" w:type="dxa"/>
            <w:gridSpan w:val="3"/>
            <w:tcBorders>
              <w:bottom w:val="single" w:sz="4" w:space="0" w:color="auto"/>
            </w:tcBorders>
            <w:vAlign w:val="center"/>
          </w:tcPr>
          <w:p w:rsidR="000C7BBE" w:rsidRDefault="00557ED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2351" w:type="dxa"/>
            <w:tcBorders>
              <w:bottom w:val="single" w:sz="4" w:space="0" w:color="auto"/>
            </w:tcBorders>
            <w:vAlign w:val="center"/>
          </w:tcPr>
          <w:p w:rsidR="000C7BBE" w:rsidRDefault="00557EDB">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0C7BBE">
        <w:trPr>
          <w:trHeight w:val="363"/>
        </w:trPr>
        <w:tc>
          <w:tcPr>
            <w:tcW w:w="3088" w:type="dxa"/>
            <w:tcBorders>
              <w:top w:val="single" w:sz="4" w:space="0" w:color="auto"/>
              <w:left w:val="single" w:sz="4" w:space="0" w:color="auto"/>
              <w:bottom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0C7BBE" w:rsidRDefault="00557EDB">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0C7BBE" w:rsidRDefault="00557EDB">
            <w:pPr>
              <w:jc w:val="center"/>
              <w:rPr>
                <w:rFonts w:ascii="仿宋" w:eastAsia="仿宋" w:hAnsi="仿宋" w:cs="仿宋"/>
              </w:rPr>
            </w:pPr>
            <w:r>
              <w:rPr>
                <w:rFonts w:ascii="仿宋" w:eastAsia="仿宋" w:hAnsi="仿宋" w:cs="仿宋" w:hint="eastAsia"/>
              </w:rPr>
              <w:t>机关运行经费支出</w:t>
            </w:r>
          </w:p>
        </w:tc>
      </w:tr>
      <w:tr w:rsidR="000C7BBE">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0C7BBE" w:rsidRDefault="00557EDB">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598.77</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167.00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60.00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8.00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15.00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10.50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71.40</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7.81</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217.91</w:t>
            </w:r>
          </w:p>
        </w:tc>
      </w:tr>
      <w:tr w:rsidR="000C7BBE">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0C7BBE" w:rsidRDefault="00557EDB">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0C7BBE" w:rsidRDefault="00557EDB">
            <w:pPr>
              <w:pStyle w:val="TableParagraph"/>
              <w:jc w:val="right"/>
              <w:rPr>
                <w:rFonts w:ascii="仿宋" w:eastAsia="仿宋" w:hAnsi="仿宋" w:cs="仿宋"/>
              </w:rPr>
            </w:pPr>
            <w:r>
              <w:rPr>
                <w:rFonts w:ascii="仿宋" w:eastAsia="仿宋" w:hAnsi="仿宋" w:cs="仿宋" w:hint="eastAsia"/>
              </w:rPr>
              <w:t>31.15</w:t>
            </w:r>
          </w:p>
        </w:tc>
      </w:tr>
    </w:tbl>
    <w:p w:rsidR="000C7BBE" w:rsidRDefault="00557EDB">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0C7BBE" w:rsidRDefault="000C7BBE">
      <w:pPr>
        <w:spacing w:before="78" w:line="290" w:lineRule="auto"/>
        <w:ind w:left="227" w:right="57"/>
        <w:jc w:val="both"/>
        <w:rPr>
          <w:rFonts w:ascii="仿宋" w:eastAsia="仿宋" w:hAnsi="仿宋" w:cs="仿宋"/>
          <w:b/>
          <w:bCs/>
        </w:rPr>
        <w:sectPr w:rsidR="000C7BBE">
          <w:footerReference w:type="default" r:id="rId22"/>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12"/>
        <w:gridCol w:w="2502"/>
        <w:gridCol w:w="1440"/>
        <w:gridCol w:w="2280"/>
        <w:gridCol w:w="1479"/>
        <w:gridCol w:w="1109"/>
        <w:gridCol w:w="1173"/>
        <w:gridCol w:w="1188"/>
        <w:gridCol w:w="1169"/>
        <w:gridCol w:w="1421"/>
      </w:tblGrid>
      <w:tr w:rsidR="000C7BBE">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0C7BBE">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0C7BBE" w:rsidRDefault="00557EDB">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0C7BBE">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南京市发展和改革委员会</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0C7BBE">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0C7BBE" w:rsidRDefault="00557EDB">
            <w:pPr>
              <w:pStyle w:val="TableParagraph"/>
              <w:jc w:val="right"/>
              <w:rPr>
                <w:rFonts w:ascii="仿宋" w:eastAsia="仿宋" w:hAnsi="仿宋" w:cs="仿宋"/>
                <w:lang w:val="en-US"/>
              </w:rPr>
            </w:pPr>
            <w:r>
              <w:rPr>
                <w:rFonts w:ascii="仿宋" w:eastAsia="仿宋" w:hAnsi="仿宋" w:cs="仿宋" w:hint="eastAsia"/>
              </w:rPr>
              <w:t>单位：万元</w:t>
            </w:r>
          </w:p>
        </w:tc>
      </w:tr>
      <w:tr w:rsidR="000C7BBE">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0C7BBE">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r>
      <w:tr w:rsidR="000C7BBE">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671.85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671.85</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茶几</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0.72</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A4</w:t>
            </w:r>
            <w:r>
              <w:rPr>
                <w:rFonts w:ascii="仿宋" w:eastAsia="仿宋" w:hAnsi="仿宋" w:cs="仿宋" w:hint="eastAsia"/>
                <w:lang w:val="en-US"/>
              </w:rPr>
              <w:t>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会议椅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单人沙发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文件</w:t>
            </w:r>
            <w:r>
              <w:rPr>
                <w:rFonts w:ascii="仿宋" w:eastAsia="仿宋" w:hAnsi="仿宋" w:cs="仿宋" w:hint="eastAsia"/>
                <w:lang w:val="en-US"/>
              </w:rPr>
              <w:t>(</w:t>
            </w:r>
            <w:r>
              <w:rPr>
                <w:rFonts w:ascii="仿宋" w:eastAsia="仿宋" w:hAnsi="仿宋" w:cs="仿宋" w:hint="eastAsia"/>
                <w:lang w:val="en-US"/>
              </w:rPr>
              <w:t>图文</w:t>
            </w:r>
            <w:r>
              <w:rPr>
                <w:rFonts w:ascii="仿宋" w:eastAsia="仿宋" w:hAnsi="仿宋" w:cs="仿宋" w:hint="eastAsia"/>
                <w:lang w:val="en-US"/>
              </w:rPr>
              <w:t>)</w:t>
            </w:r>
            <w:r>
              <w:rPr>
                <w:rFonts w:ascii="仿宋" w:eastAsia="仿宋" w:hAnsi="仿宋" w:cs="仿宋" w:hint="eastAsia"/>
                <w:lang w:val="en-US"/>
              </w:rPr>
              <w:t>传真机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roofErr w:type="gramStart"/>
            <w:r>
              <w:rPr>
                <w:rFonts w:ascii="仿宋" w:eastAsia="仿宋" w:hAnsi="仿宋" w:cs="仿宋" w:hint="eastAsia"/>
                <w:lang w:val="en-US"/>
              </w:rPr>
              <w:t>非信创</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会议桌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0.99</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proofErr w:type="gramStart"/>
            <w:r>
              <w:rPr>
                <w:rFonts w:ascii="仿宋" w:eastAsia="仿宋" w:hAnsi="仿宋" w:cs="仿宋" w:hint="eastAsia"/>
                <w:lang w:val="en-US"/>
              </w:rPr>
              <w:t>十五五</w:t>
            </w:r>
            <w:proofErr w:type="gramEnd"/>
            <w:r>
              <w:rPr>
                <w:rFonts w:ascii="仿宋" w:eastAsia="仿宋" w:hAnsi="仿宋" w:cs="仿宋" w:hint="eastAsia"/>
                <w:lang w:val="en-US"/>
              </w:rPr>
              <w:t>规划编制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40.80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南京都市圈发展规划（</w:t>
            </w:r>
            <w:r>
              <w:rPr>
                <w:rFonts w:ascii="仿宋" w:eastAsia="仿宋" w:hAnsi="仿宋" w:cs="仿宋" w:hint="eastAsia"/>
                <w:lang w:val="en-US"/>
              </w:rPr>
              <w:t>2026</w:t>
            </w:r>
            <w:r>
              <w:rPr>
                <w:rFonts w:ascii="仿宋" w:eastAsia="仿宋" w:hAnsi="仿宋" w:cs="仿宋" w:hint="eastAsia"/>
                <w:lang w:val="en-US"/>
              </w:rPr>
              <w:t>—</w:t>
            </w:r>
            <w:r>
              <w:rPr>
                <w:rFonts w:ascii="仿宋" w:eastAsia="仿宋" w:hAnsi="仿宋" w:cs="仿宋" w:hint="eastAsia"/>
                <w:lang w:val="en-US"/>
              </w:rPr>
              <w:t>2030)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127.40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127.40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南京</w:t>
            </w:r>
            <w:r>
              <w:rPr>
                <w:rFonts w:ascii="仿宋" w:eastAsia="仿宋" w:hAnsi="仿宋" w:cs="仿宋" w:hint="eastAsia"/>
                <w:lang w:val="en-US"/>
              </w:rPr>
              <w:t>2050</w:t>
            </w:r>
            <w:r>
              <w:rPr>
                <w:rFonts w:ascii="仿宋" w:eastAsia="仿宋" w:hAnsi="仿宋" w:cs="仿宋" w:hint="eastAsia"/>
                <w:lang w:val="en-US"/>
              </w:rPr>
              <w:t>城市发展战略研究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464.00</w:t>
            </w:r>
          </w:p>
        </w:tc>
      </w:tr>
      <w:tr w:rsidR="000C7BBE">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0C7BBE">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0C7BBE" w:rsidRDefault="00557EDB">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3.92</w:t>
            </w:r>
          </w:p>
        </w:tc>
      </w:tr>
    </w:tbl>
    <w:p w:rsidR="000C7BBE" w:rsidRDefault="000C7BBE">
      <w:pPr>
        <w:rPr>
          <w:rFonts w:ascii="仿宋" w:eastAsia="仿宋" w:hAnsi="仿宋" w:cs="仿宋"/>
          <w:b/>
          <w:bCs/>
        </w:rPr>
        <w:sectPr w:rsidR="000C7BBE">
          <w:footerReference w:type="default" r:id="rId23"/>
          <w:pgSz w:w="16838" w:h="11906" w:orient="landscape"/>
          <w:pgMar w:top="1320" w:right="771" w:bottom="1320" w:left="770" w:header="170" w:footer="280" w:gutter="0"/>
          <w:pgNumType w:fmt="numberInDash"/>
          <w:cols w:space="720"/>
          <w:formProt w:val="0"/>
          <w:docGrid w:linePitch="100"/>
        </w:sectPr>
      </w:pPr>
    </w:p>
    <w:p w:rsidR="000C7BBE" w:rsidRDefault="00557EDB">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0C7BBE" w:rsidRDefault="000C7BBE">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年度收入、支出预算总计</w:t>
      </w:r>
      <w:r>
        <w:rPr>
          <w:rFonts w:ascii="仿宋" w:eastAsia="仿宋" w:hAnsi="仿宋" w:cs="仿宋"/>
        </w:rPr>
        <w:t>12,217.39</w:t>
      </w:r>
      <w:r>
        <w:rPr>
          <w:rFonts w:ascii="仿宋" w:eastAsia="仿宋" w:hAnsi="仿宋" w:cs="仿宋"/>
        </w:rPr>
        <w:t>万元，与上年相比收、支预算总计各增加</w:t>
      </w:r>
      <w:r>
        <w:rPr>
          <w:rFonts w:ascii="仿宋" w:eastAsia="仿宋" w:hAnsi="仿宋" w:cs="仿宋"/>
        </w:rPr>
        <w:t>531.97</w:t>
      </w:r>
      <w:r>
        <w:rPr>
          <w:rFonts w:ascii="仿宋" w:eastAsia="仿宋" w:hAnsi="仿宋" w:cs="仿宋"/>
        </w:rPr>
        <w:t>万元，增长</w:t>
      </w:r>
      <w:r>
        <w:rPr>
          <w:rFonts w:ascii="仿宋" w:eastAsia="仿宋" w:hAnsi="仿宋" w:cs="仿宋"/>
        </w:rPr>
        <w:t>4.55%</w:t>
      </w:r>
      <w:r>
        <w:rPr>
          <w:rFonts w:ascii="仿宋" w:eastAsia="仿宋" w:hAnsi="仿宋" w:cs="仿宋"/>
        </w:rPr>
        <w:t>。其中：</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12,217.39</w:t>
      </w:r>
      <w:r>
        <w:rPr>
          <w:rFonts w:ascii="仿宋" w:eastAsia="仿宋" w:hAnsi="仿宋" w:cs="仿宋"/>
          <w:b/>
        </w:rPr>
        <w:t>万元。包括：</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12,217.39</w:t>
      </w:r>
      <w:r>
        <w:rPr>
          <w:rFonts w:ascii="仿宋" w:eastAsia="仿宋" w:hAnsi="仿宋" w:cs="仿宋"/>
        </w:rPr>
        <w:t>万元。</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12,217.39</w:t>
      </w:r>
      <w:r>
        <w:rPr>
          <w:rFonts w:ascii="仿宋" w:eastAsia="仿宋" w:hAnsi="仿宋" w:cs="仿宋"/>
        </w:rPr>
        <w:t>万元，与上年相比增加</w:t>
      </w:r>
      <w:r>
        <w:rPr>
          <w:rFonts w:ascii="仿宋" w:eastAsia="仿宋" w:hAnsi="仿宋" w:cs="仿宋"/>
        </w:rPr>
        <w:t>531.97</w:t>
      </w:r>
      <w:r>
        <w:rPr>
          <w:rFonts w:ascii="仿宋" w:eastAsia="仿宋" w:hAnsi="仿宋" w:cs="仿宋"/>
        </w:rPr>
        <w:t>万元，增长</w:t>
      </w:r>
      <w:r>
        <w:rPr>
          <w:rFonts w:ascii="仿宋" w:eastAsia="仿宋" w:hAnsi="仿宋" w:cs="仿宋"/>
        </w:rPr>
        <w:t>4.55%</w:t>
      </w:r>
      <w:r>
        <w:rPr>
          <w:rFonts w:ascii="仿宋" w:eastAsia="仿宋" w:hAnsi="仿宋" w:cs="仿宋"/>
        </w:rPr>
        <w:t>。主要原因是新增一次性项目。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w:t>
      </w:r>
      <w:r>
        <w:rPr>
          <w:rFonts w:ascii="仿宋" w:eastAsia="仿宋" w:hAnsi="仿宋" w:cs="仿宋"/>
        </w:rPr>
        <w:t>，与上年预算数相同。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12,217.39</w:t>
      </w:r>
      <w:r>
        <w:rPr>
          <w:rFonts w:ascii="仿宋" w:eastAsia="仿宋" w:hAnsi="仿宋" w:cs="仿宋"/>
          <w:b/>
        </w:rPr>
        <w:t>万元。包括：</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12,217.39</w:t>
      </w:r>
      <w:r>
        <w:rPr>
          <w:rFonts w:ascii="仿宋" w:eastAsia="仿宋" w:hAnsi="仿宋" w:cs="仿宋"/>
        </w:rPr>
        <w:t>万元。</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6,820.7</w:t>
      </w:r>
      <w:r>
        <w:rPr>
          <w:rFonts w:ascii="仿宋" w:eastAsia="仿宋" w:hAnsi="仿宋" w:cs="仿宋"/>
        </w:rPr>
        <w:t>万元，主要用于</w:t>
      </w:r>
      <w:r>
        <w:rPr>
          <w:rFonts w:ascii="仿宋" w:eastAsia="仿宋" w:hAnsi="仿宋" w:cs="仿宋"/>
        </w:rPr>
        <w:lastRenderedPageBreak/>
        <w:t>保障单位正常运转所发生的基本支出和开展经常性专项业务活动的项目</w:t>
      </w:r>
      <w:r>
        <w:rPr>
          <w:rFonts w:ascii="仿宋" w:eastAsia="仿宋" w:hAnsi="仿宋" w:cs="仿宋"/>
        </w:rPr>
        <w:t>支出。与上年相比增加</w:t>
      </w:r>
      <w:r>
        <w:rPr>
          <w:rFonts w:ascii="仿宋" w:eastAsia="仿宋" w:hAnsi="仿宋" w:cs="仿宋"/>
        </w:rPr>
        <w:t>463.54</w:t>
      </w:r>
      <w:r>
        <w:rPr>
          <w:rFonts w:ascii="仿宋" w:eastAsia="仿宋" w:hAnsi="仿宋" w:cs="仿宋"/>
        </w:rPr>
        <w:t>万元，增长</w:t>
      </w:r>
      <w:r>
        <w:rPr>
          <w:rFonts w:ascii="仿宋" w:eastAsia="仿宋" w:hAnsi="仿宋" w:cs="仿宋"/>
        </w:rPr>
        <w:t>7.29%</w:t>
      </w:r>
      <w:r>
        <w:rPr>
          <w:rFonts w:ascii="仿宋" w:eastAsia="仿宋" w:hAnsi="仿宋" w:cs="仿宋"/>
        </w:rPr>
        <w:t>。主要原因是新增一次性项目。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1,682.01</w:t>
      </w:r>
      <w:r>
        <w:rPr>
          <w:rFonts w:ascii="仿宋" w:eastAsia="仿宋" w:hAnsi="仿宋" w:cs="仿宋"/>
        </w:rPr>
        <w:t>万元，主要用于单位开支的基本养老保险、职业年金缴费支出，离退休人员经费和离退休干部管理机构为离退休人员提供管理和服务所发生的工作支出。与上年相比增加</w:t>
      </w:r>
      <w:r>
        <w:rPr>
          <w:rFonts w:ascii="仿宋" w:eastAsia="仿宋" w:hAnsi="仿宋" w:cs="仿宋"/>
        </w:rPr>
        <w:t>13.64</w:t>
      </w:r>
      <w:r>
        <w:rPr>
          <w:rFonts w:ascii="仿宋" w:eastAsia="仿宋" w:hAnsi="仿宋" w:cs="仿宋"/>
        </w:rPr>
        <w:t>万元，增长</w:t>
      </w:r>
      <w:r>
        <w:rPr>
          <w:rFonts w:ascii="仿宋" w:eastAsia="仿宋" w:hAnsi="仿宋" w:cs="仿宋"/>
        </w:rPr>
        <w:t>0.82%</w:t>
      </w:r>
      <w:r>
        <w:rPr>
          <w:rFonts w:ascii="仿宋" w:eastAsia="仿宋" w:hAnsi="仿宋" w:cs="仿宋"/>
        </w:rPr>
        <w:t>。主要原因是养老保险基数调增。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3,714.68</w:t>
      </w:r>
      <w:r>
        <w:rPr>
          <w:rFonts w:ascii="仿宋" w:eastAsia="仿宋" w:hAnsi="仿宋" w:cs="仿宋"/>
        </w:rPr>
        <w:t>万元，主要用于单位按照国家政策规定向职工发放住房公积金和提租补贴。与上年相比增加</w:t>
      </w:r>
      <w:r>
        <w:rPr>
          <w:rFonts w:ascii="仿宋" w:eastAsia="仿宋" w:hAnsi="仿宋" w:cs="仿宋"/>
        </w:rPr>
        <w:t>54.79</w:t>
      </w:r>
      <w:r>
        <w:rPr>
          <w:rFonts w:ascii="仿宋" w:eastAsia="仿宋" w:hAnsi="仿宋" w:cs="仿宋"/>
        </w:rPr>
        <w:t>万元，增长</w:t>
      </w:r>
      <w:r>
        <w:rPr>
          <w:rFonts w:ascii="仿宋" w:eastAsia="仿宋" w:hAnsi="仿宋" w:cs="仿宋"/>
        </w:rPr>
        <w:t>1.5%</w:t>
      </w:r>
      <w:r>
        <w:rPr>
          <w:rFonts w:ascii="仿宋" w:eastAsia="仿宋" w:hAnsi="仿宋" w:cs="仿宋"/>
        </w:rPr>
        <w:t>。主要原因是住房公</w:t>
      </w:r>
      <w:r>
        <w:rPr>
          <w:rFonts w:ascii="仿宋" w:eastAsia="仿宋" w:hAnsi="仿宋" w:cs="仿宋"/>
        </w:rPr>
        <w:t>积金基数调增。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年收入预算合计</w:t>
      </w:r>
      <w:r>
        <w:rPr>
          <w:rFonts w:ascii="仿宋" w:eastAsia="仿宋" w:hAnsi="仿宋" w:cs="仿宋"/>
        </w:rPr>
        <w:t>12,217.39</w:t>
      </w:r>
      <w:r>
        <w:rPr>
          <w:rFonts w:ascii="仿宋" w:eastAsia="仿宋" w:hAnsi="仿宋" w:cs="仿宋"/>
        </w:rPr>
        <w:t>万元，包括本年收入</w:t>
      </w:r>
      <w:r>
        <w:rPr>
          <w:rFonts w:ascii="仿宋" w:eastAsia="仿宋" w:hAnsi="仿宋" w:cs="仿宋"/>
        </w:rPr>
        <w:t>12,217.39</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12,217.39</w:t>
      </w:r>
      <w:r>
        <w:rPr>
          <w:rFonts w:ascii="仿宋" w:eastAsia="仿宋" w:hAnsi="仿宋" w:cs="仿宋"/>
        </w:rPr>
        <w:t>万元，占</w:t>
      </w:r>
      <w:r>
        <w:rPr>
          <w:rFonts w:ascii="仿宋" w:eastAsia="仿宋" w:hAnsi="仿宋" w:cs="仿宋"/>
        </w:rPr>
        <w:t>100%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2F5054">
        <w:rPr>
          <w:rFonts w:ascii="仿宋" w:eastAsia="仿宋" w:hAnsi="仿宋" w:cs="仿宋"/>
          <w:lang w:val="en-US"/>
        </w:rPr>
        <w:t>0</w:t>
      </w:r>
      <w:r>
        <w:rPr>
          <w:rFonts w:ascii="仿宋" w:eastAsia="仿宋" w:hAnsi="仿宋" w:cs="仿宋"/>
        </w:rPr>
        <w:t>万元</w:t>
      </w:r>
      <w:r w:rsidRPr="002F5054">
        <w:rPr>
          <w:rFonts w:ascii="仿宋" w:eastAsia="仿宋" w:hAnsi="仿宋" w:cs="仿宋"/>
          <w:lang w:val="en-US"/>
        </w:rPr>
        <w:t>，</w:t>
      </w:r>
      <w:r>
        <w:rPr>
          <w:rFonts w:ascii="仿宋" w:eastAsia="仿宋" w:hAnsi="仿宋" w:cs="仿宋"/>
        </w:rPr>
        <w:t>占</w:t>
      </w:r>
      <w:r w:rsidRPr="002F5054">
        <w:rPr>
          <w:rFonts w:ascii="仿宋" w:eastAsia="仿宋" w:hAnsi="仿宋" w:cs="仿宋"/>
          <w:lang w:val="en-US"/>
        </w:rPr>
        <w:t>0%</w:t>
      </w:r>
      <w:r w:rsidRPr="002F5054">
        <w:rPr>
          <w:rFonts w:ascii="仿宋" w:eastAsia="仿宋" w:hAnsi="仿宋" w:cs="仿宋"/>
          <w:lang w:val="en-US"/>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年支出预算合计</w:t>
      </w:r>
      <w:r>
        <w:rPr>
          <w:rFonts w:ascii="仿宋" w:eastAsia="仿宋" w:hAnsi="仿宋" w:cs="仿宋"/>
        </w:rPr>
        <w:t>12,217.39</w:t>
      </w:r>
      <w:r>
        <w:rPr>
          <w:rFonts w:ascii="仿宋" w:eastAsia="仿宋" w:hAnsi="仿宋" w:cs="仿宋"/>
        </w:rPr>
        <w:t>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w:t>
      </w:r>
      <w:r>
        <w:rPr>
          <w:rFonts w:ascii="仿宋" w:eastAsia="仿宋" w:hAnsi="仿宋" w:cs="仿宋"/>
        </w:rPr>
        <w:t>10,703.09</w:t>
      </w:r>
      <w:r>
        <w:rPr>
          <w:rFonts w:ascii="仿宋" w:eastAsia="仿宋" w:hAnsi="仿宋" w:cs="仿宋"/>
        </w:rPr>
        <w:t>万元，占</w:t>
      </w:r>
      <w:r>
        <w:rPr>
          <w:rFonts w:ascii="仿宋" w:eastAsia="仿宋" w:hAnsi="仿宋" w:cs="仿宋"/>
        </w:rPr>
        <w:t>87.61%</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w:t>
      </w:r>
      <w:r>
        <w:rPr>
          <w:rFonts w:ascii="仿宋" w:eastAsia="仿宋" w:hAnsi="仿宋" w:cs="仿宋"/>
        </w:rPr>
        <w:t>1,514.3</w:t>
      </w:r>
      <w:r>
        <w:rPr>
          <w:rFonts w:ascii="仿宋" w:eastAsia="仿宋" w:hAnsi="仿宋" w:cs="仿宋"/>
        </w:rPr>
        <w:t>万元，占</w:t>
      </w:r>
      <w:r>
        <w:rPr>
          <w:rFonts w:ascii="仿宋" w:eastAsia="仿宋" w:hAnsi="仿宋" w:cs="仿宋"/>
        </w:rPr>
        <w:t>12.39%</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C7BBE" w:rsidRDefault="00557ED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12,217.39</w:t>
      </w:r>
      <w:r>
        <w:rPr>
          <w:rFonts w:ascii="仿宋" w:eastAsia="仿宋" w:hAnsi="仿宋" w:cs="仿宋"/>
        </w:rPr>
        <w:t>万元。与上年相比，财政拨款收、支总计各增加</w:t>
      </w:r>
      <w:r>
        <w:rPr>
          <w:rFonts w:ascii="仿宋" w:eastAsia="仿宋" w:hAnsi="仿宋" w:cs="仿宋"/>
        </w:rPr>
        <w:t>531.97</w:t>
      </w:r>
      <w:r>
        <w:rPr>
          <w:rFonts w:ascii="仿宋" w:eastAsia="仿宋" w:hAnsi="仿宋" w:cs="仿宋"/>
        </w:rPr>
        <w:t>万元，增长</w:t>
      </w:r>
      <w:r>
        <w:rPr>
          <w:rFonts w:ascii="仿宋" w:eastAsia="仿宋" w:hAnsi="仿宋" w:cs="仿宋"/>
        </w:rPr>
        <w:t>4.55%</w:t>
      </w:r>
      <w:r>
        <w:rPr>
          <w:rFonts w:ascii="仿宋" w:eastAsia="仿宋" w:hAnsi="仿宋" w:cs="仿宋"/>
        </w:rPr>
        <w:t>。主要原因是新增一次性项目。</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年财政拨款预算支出</w:t>
      </w:r>
      <w:r>
        <w:rPr>
          <w:rFonts w:ascii="仿宋" w:eastAsia="仿宋" w:hAnsi="仿宋" w:cs="仿宋"/>
        </w:rPr>
        <w:t>12,217.39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531.97</w:t>
      </w:r>
      <w:r>
        <w:rPr>
          <w:rFonts w:ascii="仿宋" w:eastAsia="仿宋" w:hAnsi="仿宋" w:cs="仿宋"/>
        </w:rPr>
        <w:t>万元，增长</w:t>
      </w:r>
      <w:r>
        <w:rPr>
          <w:rFonts w:ascii="仿宋" w:eastAsia="仿宋" w:hAnsi="仿宋" w:cs="仿宋"/>
        </w:rPr>
        <w:t>4.55%</w:t>
      </w:r>
      <w:r>
        <w:rPr>
          <w:rFonts w:ascii="仿宋" w:eastAsia="仿宋" w:hAnsi="仿宋" w:cs="仿宋"/>
        </w:rPr>
        <w:t>。主要原因是新增一次性项目。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发展与改革事务（款）行政运行（项）支出</w:t>
      </w:r>
      <w:r>
        <w:rPr>
          <w:rFonts w:ascii="仿宋" w:eastAsia="仿宋" w:hAnsi="仿宋" w:cs="仿宋"/>
        </w:rPr>
        <w:t>5,306.4</w:t>
      </w:r>
      <w:r>
        <w:rPr>
          <w:rFonts w:ascii="仿宋" w:eastAsia="仿宋" w:hAnsi="仿宋" w:cs="仿宋"/>
        </w:rPr>
        <w:t>万元，与上年相比减少</w:t>
      </w:r>
      <w:r>
        <w:rPr>
          <w:rFonts w:ascii="仿宋" w:eastAsia="仿宋" w:hAnsi="仿宋" w:cs="仿宋"/>
        </w:rPr>
        <w:t>18.34</w:t>
      </w:r>
      <w:r>
        <w:rPr>
          <w:rFonts w:ascii="仿宋" w:eastAsia="仿宋" w:hAnsi="仿宋" w:cs="仿宋"/>
        </w:rPr>
        <w:t>万元，减少</w:t>
      </w:r>
      <w:r>
        <w:rPr>
          <w:rFonts w:ascii="仿宋" w:eastAsia="仿宋" w:hAnsi="仿宋" w:cs="仿宋"/>
        </w:rPr>
        <w:t>0.34%</w:t>
      </w:r>
      <w:r>
        <w:rPr>
          <w:rFonts w:ascii="仿宋" w:eastAsia="仿宋" w:hAnsi="仿宋" w:cs="仿宋"/>
        </w:rPr>
        <w:t>。主要原因是节约经费。</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发展与改革事务（款）一般行政管理事务（项）支出</w:t>
      </w:r>
      <w:r>
        <w:rPr>
          <w:rFonts w:ascii="仿宋" w:eastAsia="仿宋" w:hAnsi="仿宋" w:cs="仿宋"/>
        </w:rPr>
        <w:lastRenderedPageBreak/>
        <w:t>1,514.3</w:t>
      </w:r>
      <w:r>
        <w:rPr>
          <w:rFonts w:ascii="仿宋" w:eastAsia="仿宋" w:hAnsi="仿宋" w:cs="仿宋"/>
        </w:rPr>
        <w:t>万元，与上年相比增加</w:t>
      </w:r>
      <w:r>
        <w:rPr>
          <w:rFonts w:ascii="仿宋" w:eastAsia="仿宋" w:hAnsi="仿宋" w:cs="仿宋"/>
        </w:rPr>
        <w:t>481.88</w:t>
      </w:r>
      <w:r>
        <w:rPr>
          <w:rFonts w:ascii="仿宋" w:eastAsia="仿宋" w:hAnsi="仿宋" w:cs="仿宋"/>
        </w:rPr>
        <w:t>万元，增长</w:t>
      </w:r>
      <w:r>
        <w:rPr>
          <w:rFonts w:ascii="仿宋" w:eastAsia="仿宋" w:hAnsi="仿宋" w:cs="仿宋"/>
        </w:rPr>
        <w:t>46.67%</w:t>
      </w:r>
      <w:r>
        <w:rPr>
          <w:rFonts w:ascii="仿宋" w:eastAsia="仿宋" w:hAnsi="仿宋" w:cs="仿宋"/>
        </w:rPr>
        <w:t>。主要原因是新增一次性项目。</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w:t>
      </w:r>
      <w:r>
        <w:rPr>
          <w:rFonts w:ascii="仿宋" w:eastAsia="仿宋" w:hAnsi="仿宋" w:cs="仿宋"/>
        </w:rPr>
        <w:t>会保障和就业支出（类）</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745.89</w:t>
      </w:r>
      <w:r>
        <w:rPr>
          <w:rFonts w:ascii="仿宋" w:eastAsia="仿宋" w:hAnsi="仿宋" w:cs="仿宋"/>
        </w:rPr>
        <w:t>万元，与上年相比减少</w:t>
      </w:r>
      <w:r>
        <w:rPr>
          <w:rFonts w:ascii="仿宋" w:eastAsia="仿宋" w:hAnsi="仿宋" w:cs="仿宋"/>
        </w:rPr>
        <w:t>1.01</w:t>
      </w:r>
      <w:r>
        <w:rPr>
          <w:rFonts w:ascii="仿宋" w:eastAsia="仿宋" w:hAnsi="仿宋" w:cs="仿宋"/>
        </w:rPr>
        <w:t>万元，减少</w:t>
      </w:r>
      <w:r>
        <w:rPr>
          <w:rFonts w:ascii="仿宋" w:eastAsia="仿宋" w:hAnsi="仿宋" w:cs="仿宋"/>
        </w:rPr>
        <w:t>0.14%</w:t>
      </w:r>
      <w:r>
        <w:rPr>
          <w:rFonts w:ascii="仿宋" w:eastAsia="仿宋" w:hAnsi="仿宋" w:cs="仿宋"/>
        </w:rPr>
        <w:t>。主要原因是人员减少。</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624.08</w:t>
      </w:r>
      <w:r>
        <w:rPr>
          <w:rFonts w:ascii="仿宋" w:eastAsia="仿宋" w:hAnsi="仿宋" w:cs="仿宋"/>
        </w:rPr>
        <w:t>万元，与上年相比增加</w:t>
      </w:r>
      <w:r>
        <w:rPr>
          <w:rFonts w:ascii="仿宋" w:eastAsia="仿宋" w:hAnsi="仿宋" w:cs="仿宋"/>
        </w:rPr>
        <w:t>9.77</w:t>
      </w:r>
      <w:r>
        <w:rPr>
          <w:rFonts w:ascii="仿宋" w:eastAsia="仿宋" w:hAnsi="仿宋" w:cs="仿宋"/>
        </w:rPr>
        <w:t>万元，增长</w:t>
      </w:r>
      <w:r>
        <w:rPr>
          <w:rFonts w:ascii="仿宋" w:eastAsia="仿宋" w:hAnsi="仿宋" w:cs="仿宋"/>
        </w:rPr>
        <w:t>1.59%</w:t>
      </w:r>
      <w:r>
        <w:rPr>
          <w:rFonts w:ascii="仿宋" w:eastAsia="仿宋" w:hAnsi="仿宋" w:cs="仿宋"/>
        </w:rPr>
        <w:t>。主要原因是养老保险基数调增。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行政事业单位养老支出（款）机关事业单位职业年金缴费支出（项）支出</w:t>
      </w:r>
      <w:r>
        <w:rPr>
          <w:rFonts w:ascii="仿宋" w:eastAsia="仿宋" w:hAnsi="仿宋" w:cs="仿宋"/>
        </w:rPr>
        <w:t>312.04</w:t>
      </w:r>
      <w:r>
        <w:rPr>
          <w:rFonts w:ascii="仿宋" w:eastAsia="仿宋" w:hAnsi="仿宋" w:cs="仿宋"/>
        </w:rPr>
        <w:t>万元，与上年相比增加</w:t>
      </w:r>
      <w:r>
        <w:rPr>
          <w:rFonts w:ascii="仿宋" w:eastAsia="仿宋" w:hAnsi="仿宋" w:cs="仿宋"/>
        </w:rPr>
        <w:t>4.88</w:t>
      </w:r>
      <w:r>
        <w:rPr>
          <w:rFonts w:ascii="仿宋" w:eastAsia="仿宋" w:hAnsi="仿宋" w:cs="仿宋"/>
        </w:rPr>
        <w:t>万元，增长</w:t>
      </w:r>
      <w:r>
        <w:rPr>
          <w:rFonts w:ascii="仿宋" w:eastAsia="仿宋" w:hAnsi="仿宋" w:cs="仿宋"/>
        </w:rPr>
        <w:t>1.59%</w:t>
      </w:r>
      <w:r>
        <w:rPr>
          <w:rFonts w:ascii="仿宋" w:eastAsia="仿宋" w:hAnsi="仿宋" w:cs="仿宋"/>
        </w:rPr>
        <w:t>。主要原因是职业年金基数调增。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793.5</w:t>
      </w:r>
      <w:r>
        <w:rPr>
          <w:rFonts w:ascii="仿宋" w:eastAsia="仿宋" w:hAnsi="仿宋" w:cs="仿宋"/>
        </w:rPr>
        <w:t>万元，与上年相比增加</w:t>
      </w:r>
      <w:r>
        <w:rPr>
          <w:rFonts w:ascii="仿宋" w:eastAsia="仿宋" w:hAnsi="仿宋" w:cs="仿宋"/>
        </w:rPr>
        <w:t>39.56</w:t>
      </w:r>
      <w:r>
        <w:rPr>
          <w:rFonts w:ascii="仿宋" w:eastAsia="仿宋" w:hAnsi="仿宋" w:cs="仿宋"/>
        </w:rPr>
        <w:t>万元，增长</w:t>
      </w:r>
      <w:r>
        <w:rPr>
          <w:rFonts w:ascii="仿宋" w:eastAsia="仿宋" w:hAnsi="仿宋" w:cs="仿宋"/>
        </w:rPr>
        <w:t>5.25%</w:t>
      </w:r>
      <w:r>
        <w:rPr>
          <w:rFonts w:ascii="仿宋" w:eastAsia="仿宋" w:hAnsi="仿宋" w:cs="仿宋"/>
        </w:rPr>
        <w:t>。主要原因是住房公积金基数调增。</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2,921.18</w:t>
      </w:r>
      <w:r>
        <w:rPr>
          <w:rFonts w:ascii="仿宋" w:eastAsia="仿宋" w:hAnsi="仿宋" w:cs="仿宋"/>
        </w:rPr>
        <w:t>万元，与上年相比增加</w:t>
      </w:r>
      <w:r>
        <w:rPr>
          <w:rFonts w:ascii="仿宋" w:eastAsia="仿宋" w:hAnsi="仿宋" w:cs="仿宋"/>
        </w:rPr>
        <w:t>15.23</w:t>
      </w:r>
      <w:r>
        <w:rPr>
          <w:rFonts w:ascii="仿宋" w:eastAsia="仿宋" w:hAnsi="仿宋" w:cs="仿宋"/>
        </w:rPr>
        <w:t>万元，增长</w:t>
      </w:r>
      <w:r>
        <w:rPr>
          <w:rFonts w:ascii="仿宋" w:eastAsia="仿宋" w:hAnsi="仿宋" w:cs="仿宋"/>
        </w:rPr>
        <w:t>0.52%</w:t>
      </w:r>
      <w:r>
        <w:rPr>
          <w:rFonts w:ascii="仿宋" w:eastAsia="仿宋" w:hAnsi="仿宋" w:cs="仿宋"/>
        </w:rPr>
        <w:t>。主要原因是人员增加。</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10,703.09</w:t>
      </w:r>
      <w:r>
        <w:rPr>
          <w:rFonts w:ascii="仿宋" w:eastAsia="仿宋" w:hAnsi="仿宋" w:cs="仿宋"/>
        </w:rPr>
        <w:t>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10,104.32</w:t>
      </w:r>
      <w:r>
        <w:rPr>
          <w:rFonts w:ascii="仿宋" w:eastAsia="仿宋" w:hAnsi="仿宋" w:cs="仿宋"/>
        </w:rPr>
        <w:t>万元。主要包括：基本工资、津贴补贴、奖金、机关事业单位基本养老保险缴费、职业年金缴费、职</w:t>
      </w:r>
      <w:r>
        <w:rPr>
          <w:rFonts w:ascii="仿宋" w:eastAsia="仿宋" w:hAnsi="仿宋" w:cs="仿宋"/>
        </w:rPr>
        <w:lastRenderedPageBreak/>
        <w:t>工基本</w:t>
      </w:r>
      <w:r>
        <w:rPr>
          <w:rFonts w:ascii="仿宋" w:eastAsia="仿宋" w:hAnsi="仿宋" w:cs="仿宋"/>
        </w:rPr>
        <w:t>医疗保险缴费、其他社会保障缴费、住房公积金、医疗费、其他工资福利支出、离休费、退休费、生活补助、其他对个人和家庭的补助、其他支出。</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598.77</w:t>
      </w:r>
      <w:r>
        <w:rPr>
          <w:rFonts w:ascii="仿宋" w:eastAsia="仿宋" w:hAnsi="仿宋" w:cs="仿宋"/>
        </w:rPr>
        <w:t>万元。主要包括：办公费、差旅费、维修（护）费、会议费、培训费、公务接待费、工会经费、公务用车运行维护费、其他交通费用、其他商品和服务支出。</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12,217.39</w:t>
      </w:r>
      <w:r>
        <w:rPr>
          <w:rFonts w:ascii="仿宋" w:eastAsia="仿宋" w:hAnsi="仿宋" w:cs="仿宋"/>
        </w:rPr>
        <w:t>万元，与上年相比增加</w:t>
      </w:r>
      <w:r>
        <w:rPr>
          <w:rFonts w:ascii="仿宋" w:eastAsia="仿宋" w:hAnsi="仿宋" w:cs="仿宋"/>
        </w:rPr>
        <w:t>531.97</w:t>
      </w:r>
      <w:r>
        <w:rPr>
          <w:rFonts w:ascii="仿宋" w:eastAsia="仿宋" w:hAnsi="仿宋" w:cs="仿宋"/>
        </w:rPr>
        <w:t>万元，增长</w:t>
      </w:r>
      <w:r>
        <w:rPr>
          <w:rFonts w:ascii="仿宋" w:eastAsia="仿宋" w:hAnsi="仿宋" w:cs="仿宋"/>
        </w:rPr>
        <w:t>4.55%</w:t>
      </w:r>
      <w:r>
        <w:rPr>
          <w:rFonts w:ascii="仿宋" w:eastAsia="仿宋" w:hAnsi="仿宋" w:cs="仿宋"/>
        </w:rPr>
        <w:t>。主要原因是新增一次性项目。</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10,703.09</w:t>
      </w:r>
      <w:r>
        <w:rPr>
          <w:rFonts w:ascii="仿宋" w:eastAsia="仿宋" w:hAnsi="仿宋" w:cs="仿宋"/>
        </w:rPr>
        <w:t>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w:t>
      </w:r>
      <w:r>
        <w:rPr>
          <w:rFonts w:ascii="仿宋" w:eastAsia="仿宋" w:hAnsi="仿宋" w:cs="仿宋"/>
        </w:rPr>
        <w:t>10,104.32</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离休费、退休费、生活补助、其他对个人和家庭的补助、其他支出。</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w:t>
      </w:r>
      <w:r>
        <w:rPr>
          <w:rFonts w:ascii="仿宋" w:eastAsia="仿宋" w:hAnsi="仿宋" w:cs="仿宋"/>
        </w:rPr>
        <w:t>598.77</w:t>
      </w:r>
      <w:r>
        <w:rPr>
          <w:rFonts w:ascii="仿宋" w:eastAsia="仿宋" w:hAnsi="仿宋" w:cs="仿宋"/>
        </w:rPr>
        <w:t>万元。主要包括：办公费、差旅费、维修（护）费、会议费、培训费、公务接待费、工会经费、公务用车运行维护费、其他交通费用、其他商品和服务支出。</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南京市发展和改革委员会</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18.31</w:t>
      </w:r>
      <w:r>
        <w:rPr>
          <w:rFonts w:ascii="仿宋" w:eastAsia="仿宋" w:hAnsi="仿宋" w:cs="仿宋"/>
        </w:rPr>
        <w:t>万元，比上年预算减少</w:t>
      </w:r>
      <w:r>
        <w:rPr>
          <w:rFonts w:ascii="仿宋" w:eastAsia="仿宋" w:hAnsi="仿宋" w:cs="仿宋"/>
        </w:rPr>
        <w:t>1.41</w:t>
      </w:r>
      <w:r>
        <w:rPr>
          <w:rFonts w:ascii="仿宋" w:eastAsia="仿宋" w:hAnsi="仿宋" w:cs="仿宋"/>
        </w:rPr>
        <w:t>万元，变动原因节约经费。其中，因公出国（境）费支出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7.81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42.65%</w:t>
      </w:r>
      <w:r>
        <w:rPr>
          <w:rFonts w:ascii="仿宋" w:eastAsia="仿宋" w:hAnsi="仿宋" w:cs="仿宋"/>
        </w:rPr>
        <w:t>；公务接待费支出</w:t>
      </w:r>
      <w:r>
        <w:rPr>
          <w:rFonts w:ascii="仿宋" w:eastAsia="仿宋" w:hAnsi="仿宋" w:cs="仿宋"/>
        </w:rPr>
        <w:t>10</w:t>
      </w:r>
      <w:r>
        <w:rPr>
          <w:rFonts w:ascii="仿宋" w:eastAsia="仿宋" w:hAnsi="仿宋" w:cs="仿宋"/>
        </w:rPr>
        <w:t>.5</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57.35%</w:t>
      </w:r>
      <w:r>
        <w:rPr>
          <w:rFonts w:ascii="仿宋" w:eastAsia="仿宋" w:hAnsi="仿宋" w:cs="仿宋"/>
        </w:rPr>
        <w:t>。具体情况如下：</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7.81</w:t>
      </w:r>
      <w:r>
        <w:rPr>
          <w:rFonts w:ascii="仿宋" w:eastAsia="仿宋" w:hAnsi="仿宋" w:cs="仿宋"/>
        </w:rPr>
        <w:t>万元。其中：</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7.81</w:t>
      </w:r>
      <w:r>
        <w:rPr>
          <w:rFonts w:ascii="仿宋" w:eastAsia="仿宋" w:hAnsi="仿宋" w:cs="仿宋"/>
        </w:rPr>
        <w:t>万元，比上年预算减少</w:t>
      </w:r>
      <w:r>
        <w:rPr>
          <w:rFonts w:ascii="仿宋" w:eastAsia="仿宋" w:hAnsi="仿宋" w:cs="仿宋"/>
        </w:rPr>
        <w:t>1.41</w:t>
      </w:r>
      <w:r>
        <w:rPr>
          <w:rFonts w:ascii="仿宋" w:eastAsia="仿宋" w:hAnsi="仿宋" w:cs="仿宋"/>
        </w:rPr>
        <w:t>万元，主要原因是节约经费。</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10.5</w:t>
      </w:r>
      <w:r>
        <w:rPr>
          <w:rFonts w:ascii="仿宋" w:eastAsia="仿宋" w:hAnsi="仿宋" w:cs="仿宋"/>
        </w:rPr>
        <w:t>万元，与上年预算数相同。</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年度一般公共预算拨款安排的会议费预算支出</w:t>
      </w:r>
      <w:r>
        <w:rPr>
          <w:rFonts w:ascii="仿宋" w:eastAsia="仿宋" w:hAnsi="仿宋" w:cs="仿宋"/>
        </w:rPr>
        <w:t>10</w:t>
      </w:r>
      <w:r>
        <w:rPr>
          <w:rFonts w:ascii="仿宋" w:eastAsia="仿宋" w:hAnsi="仿宋" w:cs="仿宋"/>
        </w:rPr>
        <w:t>万元，比上年预算减少</w:t>
      </w:r>
      <w:r>
        <w:rPr>
          <w:rFonts w:ascii="仿宋" w:eastAsia="仿宋" w:hAnsi="仿宋" w:cs="仿宋"/>
        </w:rPr>
        <w:t>5</w:t>
      </w:r>
      <w:r>
        <w:rPr>
          <w:rFonts w:ascii="仿宋" w:eastAsia="仿宋" w:hAnsi="仿宋" w:cs="仿宋"/>
        </w:rPr>
        <w:t>万元，主要原因是节约经费。</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w:t>
      </w:r>
      <w:r>
        <w:rPr>
          <w:rFonts w:ascii="仿宋" w:eastAsia="仿宋" w:hAnsi="仿宋" w:cs="仿宋"/>
        </w:rPr>
        <w:t>改革委员会</w:t>
      </w:r>
      <w:r>
        <w:rPr>
          <w:rFonts w:ascii="仿宋" w:eastAsia="仿宋" w:hAnsi="仿宋" w:cs="仿宋"/>
        </w:rPr>
        <w:t>2026</w:t>
      </w:r>
      <w:r>
        <w:rPr>
          <w:rFonts w:ascii="仿宋" w:eastAsia="仿宋" w:hAnsi="仿宋" w:cs="仿宋"/>
        </w:rPr>
        <w:t>年度一般公共预算拨款安排的培训费预算支出</w:t>
      </w:r>
      <w:r>
        <w:rPr>
          <w:rFonts w:ascii="仿宋" w:eastAsia="仿宋" w:hAnsi="仿宋" w:cs="仿宋"/>
        </w:rPr>
        <w:t>117.54</w:t>
      </w:r>
      <w:r>
        <w:rPr>
          <w:rFonts w:ascii="仿宋" w:eastAsia="仿宋" w:hAnsi="仿宋" w:cs="仿宋"/>
        </w:rPr>
        <w:t>万元，比上年预算增加</w:t>
      </w:r>
      <w:r>
        <w:rPr>
          <w:rFonts w:ascii="仿宋" w:eastAsia="仿宋" w:hAnsi="仿宋" w:cs="仿宋"/>
        </w:rPr>
        <w:t>26.16</w:t>
      </w:r>
      <w:r>
        <w:rPr>
          <w:rFonts w:ascii="仿宋" w:eastAsia="仿宋" w:hAnsi="仿宋" w:cs="仿宋"/>
        </w:rPr>
        <w:t>万元，主要原因是新增一次性项目。</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w:t>
      </w:r>
      <w:r>
        <w:rPr>
          <w:rFonts w:ascii="仿宋" w:eastAsia="仿宋" w:hAnsi="仿宋" w:cs="仿宋"/>
        </w:rPr>
        <w:lastRenderedPageBreak/>
        <w:t>元。与上年预算数相同。</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598.77</w:t>
      </w:r>
      <w:r>
        <w:rPr>
          <w:rFonts w:ascii="仿宋" w:eastAsia="仿宋" w:hAnsi="仿宋" w:cs="仿宋"/>
        </w:rPr>
        <w:t>万元，与上年相比减少</w:t>
      </w:r>
      <w:r>
        <w:rPr>
          <w:rFonts w:ascii="仿宋" w:eastAsia="仿宋" w:hAnsi="仿宋" w:cs="仿宋"/>
        </w:rPr>
        <w:t>68.36</w:t>
      </w:r>
      <w:r>
        <w:rPr>
          <w:rFonts w:ascii="仿宋" w:eastAsia="仿宋" w:hAnsi="仿宋" w:cs="仿宋"/>
        </w:rPr>
        <w:t>万</w:t>
      </w:r>
      <w:r>
        <w:rPr>
          <w:rFonts w:ascii="仿宋" w:eastAsia="仿宋" w:hAnsi="仿宋" w:cs="仿宋"/>
        </w:rPr>
        <w:t>元，减少</w:t>
      </w:r>
      <w:r>
        <w:rPr>
          <w:rFonts w:ascii="仿宋" w:eastAsia="仿宋" w:hAnsi="仿宋" w:cs="仿宋"/>
        </w:rPr>
        <w:t>10.25%</w:t>
      </w:r>
      <w:r>
        <w:rPr>
          <w:rFonts w:ascii="仿宋" w:eastAsia="仿宋" w:hAnsi="仿宋" w:cs="仿宋"/>
        </w:rPr>
        <w:t>。主要原因是节约经费。</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671.85</w:t>
      </w:r>
      <w:r>
        <w:rPr>
          <w:rFonts w:ascii="仿宋" w:eastAsia="仿宋" w:hAnsi="仿宋" w:cs="仿宋"/>
        </w:rPr>
        <w:t>万元，其中：拟采购货物支出</w:t>
      </w:r>
      <w:r>
        <w:rPr>
          <w:rFonts w:ascii="仿宋" w:eastAsia="仿宋" w:hAnsi="仿宋" w:cs="仿宋"/>
        </w:rPr>
        <w:t>32.24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639.61</w:t>
      </w:r>
      <w:r>
        <w:rPr>
          <w:rFonts w:ascii="仿宋" w:eastAsia="仿宋" w:hAnsi="仿宋" w:cs="仿宋"/>
        </w:rPr>
        <w:t>万元。</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3</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1</w:t>
      </w:r>
      <w:r>
        <w:rPr>
          <w:rFonts w:ascii="仿宋" w:eastAsia="仿宋" w:hAnsi="仿宋" w:cs="仿宋"/>
        </w:rPr>
        <w:t>辆、应急保障用车</w:t>
      </w:r>
      <w:r>
        <w:rPr>
          <w:rFonts w:ascii="仿宋" w:eastAsia="仿宋" w:hAnsi="仿宋" w:cs="仿宋"/>
        </w:rPr>
        <w:t>2</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0C7BBE" w:rsidRDefault="00557EDB" w:rsidP="002F505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0C7BBE" w:rsidRDefault="00557ED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31,099.39</w:t>
      </w:r>
      <w:r>
        <w:rPr>
          <w:rFonts w:ascii="仿宋" w:eastAsia="仿宋" w:hAnsi="仿宋" w:cs="仿宋"/>
        </w:rPr>
        <w:t>万元；本单位共</w:t>
      </w:r>
      <w:r>
        <w:rPr>
          <w:rFonts w:ascii="仿宋" w:eastAsia="仿宋" w:hAnsi="仿宋" w:cs="仿宋"/>
        </w:rPr>
        <w:t>19</w:t>
      </w:r>
      <w:r>
        <w:rPr>
          <w:rFonts w:ascii="仿宋" w:eastAsia="仿宋" w:hAnsi="仿宋" w:cs="仿宋"/>
        </w:rPr>
        <w:t>个项目纳入绩效目标管理，涉及财政性资金合计</w:t>
      </w:r>
      <w:r>
        <w:rPr>
          <w:rFonts w:ascii="仿宋" w:eastAsia="仿宋" w:hAnsi="仿宋" w:cs="仿宋"/>
        </w:rPr>
        <w:t>20,396.3</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0C7BBE" w:rsidRDefault="00557EDB">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0C7BBE" w:rsidRDefault="000C7BBE">
      <w:pPr>
        <w:pStyle w:val="a4"/>
        <w:tabs>
          <w:tab w:val="left" w:pos="3864"/>
          <w:tab w:val="left" w:pos="6248"/>
          <w:tab w:val="left" w:pos="7386"/>
        </w:tabs>
        <w:ind w:leftChars="200" w:left="440" w:firstLineChars="206" w:firstLine="659"/>
        <w:jc w:val="both"/>
        <w:rPr>
          <w:rFonts w:ascii="仿宋" w:eastAsia="仿宋" w:hAnsi="仿宋" w:cs="仿宋"/>
        </w:rPr>
      </w:pP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拨款，包括一般公共预算拨款、政府性基金预算拨款、国有资本经营预算拨</w:t>
      </w:r>
      <w:r>
        <w:rPr>
          <w:rFonts w:ascii="仿宋" w:eastAsia="仿宋" w:hAnsi="仿宋" w:cs="仿宋" w:hint="eastAsia"/>
        </w:rPr>
        <w:lastRenderedPageBreak/>
        <w:t>款。</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单位公务出国（境）的住宿费、旅费、伙食补助费</w:t>
      </w:r>
      <w:r>
        <w:rPr>
          <w:rFonts w:ascii="仿宋" w:eastAsia="仿宋" w:hAnsi="仿宋" w:cs="仿宋" w:hint="eastAsia"/>
        </w:rPr>
        <w:t>、杂费、培训费等支出；公务用车购置及运行维护费反映单位公务用车购置费、燃料费、维修费、过路过桥费、保险费、安全奖励费用等支出；公务接待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w:t>
      </w:r>
      <w:r>
        <w:rPr>
          <w:rFonts w:ascii="仿宋" w:eastAsia="仿宋" w:hAnsi="仿宋" w:cs="仿宋" w:hint="eastAsia"/>
        </w:rPr>
        <w:lastRenderedPageBreak/>
        <w:t>用房物业管理费、公务用车运行维护费及其他费用等。</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w:t>
      </w:r>
      <w:r>
        <w:rPr>
          <w:rFonts w:ascii="仿宋" w:eastAsia="仿宋" w:hAnsi="仿宋" w:cs="仿宋" w:hint="eastAsia"/>
        </w:rPr>
        <w:t>老保险费支出。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roofErr w:type="gramStart"/>
      <w:r>
        <w:rPr>
          <w:rFonts w:ascii="仿宋" w:eastAsia="仿宋" w:hAnsi="仿宋" w:cs="仿宋" w:hint="eastAsia"/>
        </w:rPr>
        <w:t>含职业</w:t>
      </w:r>
      <w:proofErr w:type="gramEnd"/>
      <w:r>
        <w:rPr>
          <w:rFonts w:ascii="仿宋" w:eastAsia="仿宋" w:hAnsi="仿宋" w:cs="仿宋" w:hint="eastAsia"/>
        </w:rPr>
        <w:t>年金补记支出）。</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C7BBE" w:rsidRDefault="00557ED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0C7BBE">
      <w:pgSz w:w="11906" w:h="16838"/>
      <w:pgMar w:top="1580" w:right="820" w:bottom="770" w:left="822"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EDB" w:rsidRDefault="00557EDB">
      <w:r>
        <w:separator/>
      </w:r>
    </w:p>
  </w:endnote>
  <w:endnote w:type="continuationSeparator" w:id="0">
    <w:p w:rsidR="00557EDB" w:rsidRDefault="0055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072;mso-wrap-style:none;mso-position-horizontal:center;mso-position-horizontal-relative:margin;mso-width-relative:page;mso-height-relative:page" filled="f" stroked="f">
          <v:textbox style="mso-fit-shape-to-text:t" inset="0,0,0,0">
            <w:txbxContent>
              <w:p w:rsidR="000C7BBE" w:rsidRDefault="00557EDB">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F5054">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288;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- 16 -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312;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- 17 -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336;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- 19 -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63360;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- 20 -</w:t>
                </w:r>
                <w:r>
                  <w:rPr>
                    <w:rFonts w:hint="eastAsia"/>
                  </w:rPr>
                  <w:fldChar w:fldCharType="end"/>
                </w:r>
              </w:p>
            </w:txbxContent>
          </v:textbox>
          <w10:wrap anchorx="margin"/>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664384;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- 32 -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rPr>
        <w:rFonts w:ascii="黑体" w:eastAsia="黑体" w:hAnsi="黑体" w:cs="黑体"/>
      </w:rPr>
    </w:pPr>
    <w:r>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096;mso-wrap-style:none;mso-position-horizontal:center;mso-position-horizontal-relative:margin;mso-width-relative:page;mso-height-relative:page" filled="f" stroked="f">
          <v:textbox style="mso-fit-shape-to-text:t" inset="0,0,0,0">
            <w:txbxContent>
              <w:p w:rsidR="000C7BBE" w:rsidRDefault="00557EDB">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F5054">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120;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- 7 -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144;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- 9 -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168;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- 10 -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192;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- 12 -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216;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- 13 -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240;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- 14 -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5"/>
      <w:jc w:val="center"/>
    </w:pPr>
    <w:r>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0C7BBE" w:rsidRDefault="00557EDB">
                <w:pPr>
                  <w:pStyle w:val="a5"/>
                </w:pPr>
                <w:r>
                  <w:rPr>
                    <w:rFonts w:hint="eastAsia"/>
                  </w:rPr>
                  <w:fldChar w:fldCharType="begin"/>
                </w:r>
                <w:r>
                  <w:rPr>
                    <w:rFonts w:hint="eastAsia"/>
                  </w:rPr>
                  <w:instrText xml:space="preserve"> PAGE  \* MERGEFORMAT </w:instrText>
                </w:r>
                <w:r>
                  <w:rPr>
                    <w:rFonts w:hint="eastAsia"/>
                  </w:rPr>
                  <w:fldChar w:fldCharType="separate"/>
                </w:r>
                <w:r w:rsidR="002F5054">
                  <w:rPr>
                    <w:noProof/>
                  </w:rPr>
                  <w:t>- 15 -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EDB" w:rsidRDefault="00557EDB">
      <w:r>
        <w:separator/>
      </w:r>
    </w:p>
  </w:footnote>
  <w:footnote w:type="continuationSeparator" w:id="0">
    <w:p w:rsidR="00557EDB" w:rsidRDefault="00557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557EDB">
    <w:pPr>
      <w:pStyle w:val="a6"/>
      <w:pBdr>
        <w:bottom w:val="single" w:sz="4" w:space="1" w:color="000000"/>
      </w:pBdr>
      <w:jc w:val="both"/>
      <w:rPr>
        <w:lang w:val="en-US"/>
      </w:rPr>
    </w:pPr>
    <w:r>
      <w:rPr>
        <w:rFonts w:hint="eastAsia"/>
        <w:lang w:val="en-US"/>
      </w:rPr>
      <w:t>南京市发展和改革委员会</w:t>
    </w:r>
    <w:r>
      <w:t>2026</w:t>
    </w:r>
    <w:r>
      <w:t>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BBE" w:rsidRDefault="000C7BBE">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C7BBE"/>
    <w:rsid w:val="DBEED555"/>
    <w:rsid w:val="00064984"/>
    <w:rsid w:val="00071288"/>
    <w:rsid w:val="00071789"/>
    <w:rsid w:val="000C7BBE"/>
    <w:rsid w:val="000F12AB"/>
    <w:rsid w:val="001C31F9"/>
    <w:rsid w:val="002F5054"/>
    <w:rsid w:val="00407CA7"/>
    <w:rsid w:val="00413AD8"/>
    <w:rsid w:val="00557ED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出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2357</Words>
  <Characters>13441</Characters>
  <Application>Microsoft Office Word</Application>
  <DocSecurity>0</DocSecurity>
  <Lines>112</Lines>
  <Paragraphs>31</Paragraphs>
  <ScaleCrop>false</ScaleCrop>
  <Company/>
  <LinksUpToDate>false</LinksUpToDate>
  <CharactersWithSpaces>15767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NTKO</cp:lastModifiedBy>
  <cp:revision>176</cp:revision>
  <dcterms:created xsi:type="dcterms:W3CDTF">2021-04-16T03:22:00Z</dcterms:created>
  <dcterms:modified xsi:type="dcterms:W3CDTF">2026-03-02T03:28:00Z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