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100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4" w:hRule="atLeast"/>
        </w:trPr>
        <w:tc>
          <w:tcPr>
            <w:tcW w:w="1008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5" w:hRule="atLeast"/>
        </w:trPr>
        <w:tc>
          <w:tcPr>
            <w:tcW w:w="1008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 xml:space="preserve">2026年度</w:t>
              <w:br w:type="textWrapping"/>
              <w:t/>
            </w:r>
            <w:r>
              <w:rPr>
                <w:b w:val="on"/>
                <w:rFonts w:ascii="宋体" w:eastAsia="宋体" w:hAnsi="宋体" w:cs="宋体"/>
                <w:sz w:val="52"/>
                <w:u w:color="auto"/>
              </w:rPr>
              <w:t>南京市发展和改革委员会价格认证中心</w:t>
            </w:r>
            <w:r>
              <w:rPr>
                <w:b w:val="on"/>
                <w:rFonts w:ascii="宋体" w:eastAsia="宋体" w:hAnsi="宋体" w:cs="宋体"/>
                <w:sz w:val="52"/>
                <w:u w:color="auto"/>
              </w:rPr>
              <w:t xml:space="preserve"></w:t>
              <w:br w:type="textWrapping"/>
              <w:t>单位预算公开</w:t>
            </w:r>
            <w:r>
              <w:rPr>
                <w:b w:val="on"/>
                <w:rFonts w:ascii="宋体" w:eastAsia="宋体" w:hAnsi="宋体" w:cs="宋体"/>
                <w:sz w:val="52"/>
                <w:u w:color="auto"/>
              </w:rPr>
              <w:t/>
            </w:r>
            <w:r>
              <w:rPr>
                <w:b w:val="on"/>
                <w:rFonts w:ascii="宋体" w:eastAsia="宋体" w:hAnsi="宋体" w:cs="宋体"/>
                <w:sz w:val="52"/>
                <w:u w:color="auto"/>
              </w:rPr>
              <w:t/>
            </w:r>
          </w:p>
        </w:tc>
      </w:tr>
    </w:tbl>
    <w:p>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2026</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lang w:val="en-US" w:eastAsia="zh-CN"/>
          <w:u/>
        </w:rPr>
        <w:t>年度</w:t>
      </w:r>
      <w:r>
        <w:rPr>
          <w:b w:val="on"/>
          <w:rFonts w:ascii="仿宋" w:eastAsia="仿宋" w:hAnsi="仿宋" w:cs="仿宋"/>
          <w:u w:color="auto"/>
        </w:rPr>
        <w:t>单位</w:t>
      </w:r>
      <w:r>
        <w:rPr>
          <w:b w:val="on"/>
          <w:rFonts w:ascii="仿宋" w:eastAsia="仿宋" w:hAnsi="仿宋" w:cs="仿宋"/>
          <w:u w:color="auto"/>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color w:val="000000"/>
          <w:sz w:val="30"/>
          <w:szCs w:val="30"/>
          <w:lang w:val="en-US" w:bidi="ar"/>
          <w:u/>
        </w:rPr>
        <w:t>年度</w:t>
      </w:r>
      <w:r>
        <w:rPr>
          <w:b w:val="on"/>
          <w:color w:val="000000"/>
          <w:rFonts w:ascii="仿宋" w:eastAsia="仿宋" w:hAnsi="仿宋" w:cs="仿宋"/>
          <w:sz w:val="30"/>
          <w:u w:color="auto"/>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5"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（1）对本级司法机关、行政执法机关在办理刑事案件、行政执法案件过程中涉及的价格不明或价格有争议的商品和服务价格进行价格认定；</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（2）对本级纪检监察系统在办理案件过程中涉及的价格不明或价格有争议的商品和服务价格进行价格认定；</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（3）对本级税务机关在税收征管过程中涉及的价格不明或价格有争议的商品和服务价格进行价格认定；</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（4）对政府购买公共服务活动中涉及的价格不明或价格有争议的商品和服务价格进行价格认定；</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（5）对本级国家赔偿、补偿事项中涉及的价格不明或价格有争议的商品和服务价格进行价格认定；</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（6）对本级行政事业单位出售（出让）固定资产价格进行价格认定；</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（7）承担价格争议调解工作；</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（8）承担本行政区域内的价格认定复核事项；</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（9）制定全市价格认定工作制度并组织实施，对区级价格认定机构进行行业管理和业务指导；</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（10）承办主管局交办的其他事项。</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u/>
        </w:rPr>
        <w:t>二、</w:t>
      </w:r>
      <w:r>
        <w:rPr>
          <w:b w:val="on"/>
          <w:rFonts w:ascii="仿宋" w:eastAsia="仿宋" w:hAnsi="仿宋" w:cs="仿宋"/>
          <w:u w:color="auto"/>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r>
        <w:rPr>
          <w:rFonts w:ascii="仿宋" w:eastAsia="仿宋" w:hAnsi="仿宋" w:cs="仿宋"/>
          <w:u w:color="auto"/>
        </w:rPr>
        <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eastAsia="仿宋" w:hAnsi="仿宋" w:cs="仿宋"/>
          <w:u w:color="auto"/>
        </w:rPr>
        <w:t/>
      </w:r>
      <w:r>
        <w:rPr>
          <w:rFonts w:ascii="仿宋" w:eastAsia="仿宋" w:hAnsi="仿宋" w:cs="仿宋"/>
          <w:u w:color="auto"/>
        </w:rPr>
        <w:t>本单位内设机构包括：</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办公室、价格认定一科、价格认定二科、价格认定三科。</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本单位无下属单位。</w:t>
      </w:r>
      <w:r>
        <w:rPr>
          <w:rFonts w:ascii="仿宋" w:eastAsia="仿宋" w:hAnsi="仿宋" w:cs="仿宋"/>
          <w:u w:color="auto"/>
        </w:rPr>
        <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2026</w:t>
      </w:r>
      <w:r>
        <w:rPr>
          <w:rFonts w:hint="eastAsia" w:ascii="仿宋" w:hAnsi="仿宋" w:eastAsia="仿宋" w:cs="仿宋"/>
          <w:b/>
          <w:bCs/>
          <w:u/>
        </w:rPr>
        <w:t>年度</w:t>
      </w:r>
      <w:r>
        <w:rPr>
          <w:b w:val="on"/>
          <w:rFonts w:ascii="仿宋" w:eastAsia="仿宋" w:hAnsi="仿宋" w:cs="仿宋"/>
          <w:u w:color="auto"/>
        </w:rPr>
        <w:t>单位</w:t>
      </w:r>
      <w:r>
        <w:rPr>
          <w:b w:val="on"/>
          <w:rFonts w:ascii="仿宋" w:eastAsia="仿宋" w:hAnsi="仿宋" w:cs="仿宋"/>
          <w:u w:color="auto"/>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中心将认真学习党的二十大和二十届四中全会精神，深入贯彻落实中央八项规定精神，按照委党组和省认定局的部署要求，继续发扬公正、民主、团结的工作作风，认真履行职能，创新工作思路，确保全年各项工作目标的完成，推动价格认定工作再上新台阶。</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（一）加强政治学习和党风廉政教育</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坚持以习近平新时代中国特色社会主义思想为指导，以党的政治建设为统领，严格落实党建工作任务，持续深化政治理论和业务学习，加强党员干部的党纪学习和教育管理，增强工作人员党纪、政纪、法制观念和安全意识，严守底线，不踩红线，持之以恒地推进机关作风和党风廉政建设。充分发挥支部的战斗堡垒作用，带动中心全体党员干部形成共事一条心、谋事一盘棋、处事一个调、干事一股劲的良好的风尚。</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（二）规范做好价格认定业务工作</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严格贯彻落实《监察法实施条例》《价格认定规定》等有关价格认定工作的法律法规制度文件，严格落实好审核制度，确保价格认定结论客观、公正。不断挖掘价格认定职能，围绕政府重点工程、重大项目、国有资产处置等，开展并指导各区服务政府工作大局、服务地方经济发展的价格认定工作。根据省市电动车管理新规，适时修订出台电动车价格认定指导意见。</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（三）继续助推机构转型工作</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推广雨花台区机构转型成功经验，督促落实全市价格认定机构转型推进会议精神，为主城4区认定机构转型提供指导和帮助。同时，加强各区中心年度预算经费落实、专项经费执行情况的指导与督查，适时通报相关情况，倒逼各区认定机构和主管部门积极争取、保障办案经费落实，切实改变认定案件逐年增加、办案经费却逐年压缩的现状。</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（四）探索建立市区协作共进机制</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加强与省局的沟通，及时掌握工作要求，开展日常业务指导，持续推进岗位练兵，建立“1+2+N”协作共进机制，提升系统合力。“1”即：严格落实全年年度工作计划，召开全市价格认定工作会议全年不少于1次，及时总结、部署工作；“2”即：继续开展对口指导和服务基层活动，全年对12区每区不少于2次的走访调研和指导；“N”即：包括市区联动办案、罕见标的学习交流等，市中心遇有重大疑难案件时，可邀请标的所在区中心参与办案；区中心遇有特殊标的、罕见标的时，可邀请市中心和兄弟中心共同参与、观摩交流；适时组织特殊案例、经典案例交流会，编印《案例汇编》下发全市认定人员，作为办案参考。通过上述活动，使全市认定系统在协作办案中提升业务水平，在交流合作中提高认定质量。</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（五）加强中心队伍建设</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采取多种举措加强中心队伍建设，关心干部成长进步，重视年轻干部培养，适时开展干部选拔、晋级工作。推进内部学习、学习反馈等机制，通过全体人员会议、专题会等方式进行学习成果交流。加强人文关怀，以集体活动、座谈、谈心等方式，了解干部职工的思想动态，关心干部的成长进步，充分调动人员的工作积极性，营造积极向上的良好氛围。</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（六）加强认定工作宣传</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加强信息报送，善于从日常工作中发掘信息，综合运用主流媒体、新媒体，采取灵活多样的形式，大力宣传价格认定工作职能以及在“三涉一调”等工作中取得的成效，充分发挥宣传工作的“窗口”作用，提高认知度，树立价格认定机构良好形象。</w:t>
      </w:r>
      <w:r>
        <w:rPr>
          <w:rFonts w:ascii="仿宋" w:eastAsia="仿宋" w:hAnsi="仿宋" w:cs="仿宋"/>
          <w:u w:color="auto"/>
        </w:rPr>
        <w:t/>
      </w:r>
    </w:p>
    <w:p>
      <w:pPr>
        <w:pStyle w:val="8"/>
        <w:spacing w:line="235" w:lineRule="auto"/>
        <w:ind w:left="669" w:leftChars="300" w:right="2414" w:hanging="9" w:firstLineChars="0"/>
        <w:jc w:val="both"/>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南京市发展和改革委员会价格认证中心</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u/>
        </w:rPr>
        <w:t>单位</w:t>
      </w:r>
      <w:r>
        <w:rPr>
          <w:b w:val="on"/>
          <w:rFonts w:ascii="仿宋" w:eastAsia="仿宋" w:hAnsi="仿宋" w:cs="仿宋"/>
          <w:sz w:val="44"/>
          <w:u w:color="auto"/>
        </w:rPr>
        <w:t>预算表</w:t>
      </w:r>
    </w:p>
    <w:tbl>
      <w:tblPr>
        <w:tblStyle w:val="12"/>
        <w:tblW w:w="11329" w:type="dxa"/>
        <w:jc w:val="center"/>
        <w:tblInd w:w="0" w:type="dxa"/>
        <w:tblLayout w:type="fixed"/>
        <w:tblCellMar>
          <w:top w:w="0" w:type="dxa"/>
          <w:left w:w="108" w:type="dxa"/>
          <w:bottom w:w="0" w:type="dxa"/>
          <w:right w:w="108" w:type="dxa"/>
        </w:tblCellMar>
      </w:tblPr>
      <w:tblGrid>
        <w:gridCol w:w="3908"/>
        <w:gridCol w:w="1869"/>
        <w:gridCol w:w="3704"/>
        <w:gridCol w:w="67"/>
        <w:gridCol w:w="1781"/>
      </w:tblGrid>
      <w:tr>
        <w:tblPrEx>
          <w:tblLayout w:type="fixed"/>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tblPrEx>
          <w:tblLayout w:type="fixed"/>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tblPrEx>
          <w:tblLayout w:type="fixed"/>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color w:val="000000"/>
                <w:sz w:val="22"/>
                <w:szCs w:val="22"/>
                <w:lang w:eastAsia="ar-SA"/>
              </w:rPr>
              <w:t>南京市发展和改革委员会价格认证中心</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tblPrEx>
          <w:tblLayout w:type="fixed"/>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tblPrEx>
          <w:tblLayout w:type="fixed"/>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719.79</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379.48</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96.52</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十八、援助其他地区支出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243.79</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719.79</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719.79</w:t>
            </w:r>
          </w:p>
        </w:tc>
      </w:tr>
      <w:tr>
        <w:tblPrEx>
          <w:tblLayout w:type="fixed"/>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zh-CN" w:eastAsia="ar-SA"/>
              </w:rPr>
            </w:pPr>
            <w:r>
              <w:rPr>
                <w:rFonts w:hint="eastAsia" w:ascii="仿宋" w:hAnsi="仿宋" w:eastAsia="仿宋" w:cs="仿宋"/>
                <w:b/>
                <w:bCs/>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
            </w:r>
          </w:p>
        </w:tc>
      </w:tr>
      <w:tr>
        <w:tblPrEx>
          <w:tblLayout w:type="fixed"/>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719.79</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719.79</w:t>
            </w: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7"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南京市发展和改革委员会价格认证中心</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719.79</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719.79</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719.79</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125</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南京市发展和改革委员会</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719.79</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719.79</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719.79</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125012</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南京市发展和改革委员会价格认证中心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719.79</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719.79</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719.79</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8"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Layout w:type="fixed"/>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Layout w:type="fixed"/>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Layout w:type="fixed"/>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南京市发展和改革委员会价格认证中心</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Layout w:type="fixed"/>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Layout w:type="fixed"/>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u/>
              </w:rPr>
              <w:t/>
            </w:r>
            <w:r>
              <w:rPr>
                <w:rFonts w:ascii="仿宋" w:eastAsia="仿宋" w:hAnsi="仿宋" w:cs="仿宋"/>
                <w:sz w:val="22"/>
                <w:u w:color="auto"/>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719.79</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704.79</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379.48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364.48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20104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发展与改革事务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379.48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364.48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2010401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364.48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364.48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2010408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物价管理</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96.52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96.52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96.52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96.52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2080501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行政单位离退休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33.66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33.66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2080505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41.91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41.91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2080506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20.95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20.95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243.79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243.79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243.79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243.79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51.29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51.29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192.50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192.50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9"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Layout w:type="fixed"/>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Layout w:type="fixed"/>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Layout w:type="fixed"/>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sz w:val="22"/>
                <w:szCs w:val="22"/>
              </w:rPr>
              <w:t>南京市发展和改革委员会价格认证中心</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Layout w:type="fixed"/>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Layout w:type="fixed"/>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u/>
              </w:rPr>
              <w:t/>
            </w:r>
            <w:r>
              <w:rPr>
                <w:b w:val="on"/>
                <w:rFonts w:ascii="仿宋" w:eastAsia="仿宋" w:hAnsi="仿宋" w:cs="仿宋"/>
                <w:sz w:val="22"/>
                <w:u w:color="auto"/>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719.79</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719.79</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719.79</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379.48</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96.52</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（十八）援助其他地区支出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243.79</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719.79</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719.79</w:t>
            </w:r>
          </w:p>
        </w:tc>
      </w:tr>
    </w:tbl>
    <w:p>
      <w:pPr>
        <w:ind w:left="-220" w:leftChars="-100" w:firstLine="0" w:firstLineChars="0"/>
        <w:rPr>
          <w:rFonts w:hint="eastAsia" w:ascii="仿宋" w:hAnsi="仿宋" w:eastAsia="仿宋" w:cs="仿宋"/>
          <w:b/>
          <w:bCs/>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Layout w:type="fixed"/>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Layout w:type="fixed"/>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Layout w:type="fixed"/>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南京市发展和改革委员会价格认证中心</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Layout w:type="fixed"/>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719.79</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704.79</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658.88</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45.91</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15.00</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379.48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364.48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321.26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43.22</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15.00</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发展与改革事务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379.48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364.48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321.26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43.22</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15.00</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2010401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364.48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364.48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321.26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43.22</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2010408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物价管理</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15.00</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96.52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96.52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93.83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2.69</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96.52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96.52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93.83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2.69</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2080501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行政单位离退休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33.66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33.66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30.97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2.69</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2080505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41.91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41.91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41.91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2080506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20.95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20.95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20.95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243.79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243.79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243.79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243.79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243.79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243.79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51.29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51.29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51.29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192.50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192.50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192.50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Layout w:type="fixed"/>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Layout w:type="fixed"/>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Layout w:type="fixed"/>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sz w:val="22"/>
                <w:szCs w:val="22"/>
              </w:rPr>
              <w:t>南京市发展和改革委员会价格认证中心</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Layout w:type="fixed"/>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Layout w:type="fixed"/>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704.79</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658.88</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45.91</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515.33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515.33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80.19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80.19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194.55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194.55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95.01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95.01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41.91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41.91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20.95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20.95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20.43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20.43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51.29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51.29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10.48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10.48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45.91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45.91</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12.96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12.96</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印刷费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1.92</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5.44</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13.52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13.52</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1.67</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125.95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125.95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125.23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125.23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17.60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17.60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17.60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17.60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2"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Layout w:type="fixed"/>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Layout w:type="fixed"/>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Layout w:type="fixed"/>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南京市发展和改革委员会价格认证中心</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Layout w:type="fixed"/>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719.79</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704.79</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658.88</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45.91</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379.48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364.48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321.26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43.22</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发展与改革事务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379.48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364.48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321.26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43.22</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2010401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364.48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364.48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321.26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43.22</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2010408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物价管理</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96.52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96.52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93.83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2.69</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96.52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96.52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93.83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2.69</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行政单位离退休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33.66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33.66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30.97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2.69</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41.91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41.91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41.91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20.95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20.95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20.95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243.79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243.79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243.79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243.79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243.79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243.79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51.29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51.29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51.29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192.50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192.50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192.50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3"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Layout w:type="fixed"/>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Layout w:type="fixed"/>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Layout w:type="fixed"/>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南京市发展和改革委员会价格认证中心</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Layout w:type="fixed"/>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Layout w:type="fixed"/>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704.79</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658.88</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45.91</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515.33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515.33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80.19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80.19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194.55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194.55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95.01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95.01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41.91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41.91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20.95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20.95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20.43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20.43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51.29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51.29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30114</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10.48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10.48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45.91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45.91</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12.96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12.96</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印刷费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1.92</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5.44</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13.52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13.52</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1.67</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125.95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125.95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125.23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125.23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17.60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17.60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17.60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17.60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Layout w:type="fixed"/>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Layout w:type="fixed"/>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Layout w:type="fixed"/>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南京市发展和改革委员会价格认证中心</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Layout w:type="fixed"/>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Layout w:type="fixed"/>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5"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Layout w:type="fixed"/>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Layout w:type="fixed"/>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Layout w:type="fixed"/>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南京市发展和改革委员会价格认证中心</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Layout w:type="fixed"/>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Layout w:type="fixed"/>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Layout w:type="fixed"/>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Layout w:type="fixed"/>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Layout w:type="fixed"/>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u/>
        </w:rPr>
        <w:t>本</w:t>
      </w:r>
      <w:r>
        <w:rPr>
          <w:b w:val="on"/>
          <w:rFonts w:ascii="仿宋" w:eastAsia="仿宋" w:hAnsi="仿宋" w:cs="仿宋"/>
          <w:sz w:val="22"/>
          <w:u w:color="auto"/>
        </w:rPr>
        <w:t>单位</w:t>
      </w:r>
      <w:r>
        <w:rPr>
          <w:b w:val="on"/>
          <w:rFonts w:ascii="仿宋" w:eastAsia="仿宋" w:hAnsi="仿宋" w:cs="仿宋"/>
          <w:sz w:val="22"/>
          <w:u w:color="auto"/>
        </w:rPr>
        <w:t>无政府性基金预算，也没有使用政府性基金安排的支出，故本表无数据。</w:t>
      </w:r>
      <w:r>
        <w:rPr>
          <w:b w:val="on"/>
          <w:rFonts w:ascii="仿宋" w:eastAsia="仿宋" w:hAnsi="仿宋" w:cs="仿宋"/>
          <w:sz w:val="22"/>
          <w:u w:color="auto"/>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6"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Ind w:w="0" w:type="dxa"/>
        <w:tblLayout w:type="fixed"/>
        <w:tblCellMar>
          <w:top w:w="0" w:type="dxa"/>
          <w:left w:w="108" w:type="dxa"/>
          <w:bottom w:w="0" w:type="dxa"/>
          <w:right w:w="108" w:type="dxa"/>
        </w:tblCellMar>
      </w:tblPr>
      <w:tblGrid>
        <w:gridCol w:w="1596"/>
        <w:gridCol w:w="3803"/>
        <w:gridCol w:w="3111"/>
        <w:gridCol w:w="3094"/>
        <w:gridCol w:w="3091"/>
      </w:tblGrid>
      <w:tr>
        <w:tblPrEx>
          <w:tblLayout w:type="fixed"/>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Layout w:type="fixed"/>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Layout w:type="fixed"/>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南京市发展和改革委员会价格认证中心</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Layout w:type="fixed"/>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Layout w:type="fixed"/>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Layout w:type="fixed"/>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Layout w:type="fixed"/>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Layout w:type="fixed"/>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Layout w:type="fixed"/>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u/>
        </w:rPr>
        <w:t/>
      </w:r>
      <w:r>
        <w:rPr>
          <w:b w:val="on"/>
          <w:rFonts w:ascii="仿宋" w:eastAsia="仿宋" w:hAnsi="仿宋" w:cs="仿宋"/>
          <w:sz w:val="22"/>
          <w:u w:color="auto"/>
        </w:rPr>
        <w:t>注：本</w:t>
      </w:r>
      <w:r>
        <w:rPr>
          <w:b w:val="on"/>
          <w:rFonts w:ascii="仿宋" w:eastAsia="仿宋" w:hAnsi="仿宋" w:cs="仿宋"/>
          <w:sz w:val="22"/>
          <w:u w:color="auto"/>
        </w:rPr>
        <w:t>单位</w:t>
      </w:r>
      <w:r>
        <w:rPr>
          <w:b w:val="on"/>
          <w:rFonts w:ascii="仿宋" w:eastAsia="仿宋" w:hAnsi="仿宋" w:cs="仿宋"/>
          <w:sz w:val="22"/>
          <w:u w:color="auto"/>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u/>
        </w:rPr>
        <w:t>，故本表无数据。</w:t>
      </w:r>
      <w:r>
        <w:rPr>
          <w:b w:val="on"/>
          <w:rFonts w:ascii="仿宋" w:eastAsia="仿宋" w:hAnsi="仿宋" w:cs="仿宋"/>
          <w:sz w:val="22"/>
          <w:u w:color="auto"/>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Layout w:type="fixed"/>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Layout w:type="fixed"/>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Layout w:type="fixed"/>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南京市发展和改革委员会价格认证中心</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Layout w:type="fixed"/>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45.91</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45.91</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30201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12.96</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印刷费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0.20</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30207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邮电费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1.92</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30211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差旅费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5.20</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30215</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会议费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30216</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培训费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30217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30228</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5.44</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30239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13.52</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30299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1.67</w:t>
            </w:r>
          </w:p>
        </w:tc>
      </w:tr>
    </w:tbl>
    <w:p>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日常维修费、专用材料及一般设备购置费、办公用房水电费、办公用房取暖费、办公用房物业管理费、公务用车运行维护费及其他费用等。</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7"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bookmarkStart w:id="0" w:name="_GoBack"/>
      <w:bookmarkEnd w:id="0"/>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479"/>
        <w:gridCol w:w="1109"/>
        <w:gridCol w:w="1173"/>
        <w:gridCol w:w="1188"/>
        <w:gridCol w:w="1169"/>
        <w:gridCol w:w="14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9213"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南京市发展和改革委员会价格认证中心</w:t>
            </w:r>
          </w:p>
        </w:tc>
        <w:tc>
          <w:tcPr>
            <w:tcW w:w="4639"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479"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639"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5.20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5.20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南京市发展和改革委员会价格认证中心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5.20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南京市发展和改革委员会价格认证中心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便携式计算机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1.40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南京市发展和改革委员会价格认证中心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台式计算机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3.60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南京市发展和改革委员会价格认证中心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运转类-公用经费综合定额</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印刷费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复印纸</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0.20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0.20</w:t>
            </w:r>
          </w:p>
        </w:tc>
      </w:tr>
    </w:tbl>
    <w:p>
      <w:pPr>
        <w:bidi w:val="0"/>
        <w:rPr>
          <w:rFonts w:hint="eastAsia" w:ascii="仿宋" w:hAnsi="仿宋" w:eastAsia="仿宋" w:cs="仿宋"/>
          <w:b/>
          <w:bCs/>
          <w:sz w:val="22"/>
          <w:szCs w:val="22"/>
        </w:rPr>
        <w:sectPr>
          <w:footerReference r:id="rId18"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2026</w:t>
      </w:r>
      <w:r>
        <w:rPr>
          <w:rFonts w:hint="eastAsia" w:ascii="仿宋" w:hAnsi="仿宋" w:eastAsia="仿宋" w:cs="仿宋"/>
          <w:b/>
          <w:bCs/>
          <w:sz w:val="44"/>
          <w:szCs w:val="44"/>
          <w:u/>
        </w:rPr>
        <w:t>年度</w:t>
      </w:r>
      <w:r>
        <w:rPr>
          <w:b w:val="on"/>
          <w:rFonts w:ascii="仿宋" w:eastAsia="仿宋" w:hAnsi="仿宋" w:cs="仿宋"/>
          <w:sz w:val="44"/>
          <w:u w:color="auto"/>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一、收支预算总体情况说明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南京市发展和改革委员会价格认证中心2026年度收入、支出预算总计719.79万元，与上年相比收、支预算总计各增加50.21万元，增长7.5%。其中：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（一）收入预算总计719.79万元。包括：</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1．本年收入合计719.79万元。</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（1）一般公共预算拨款收入719.79万元，与上年相比增加50.21万元，增长7.5%。主要原因是政策性调整。</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（2）政府性基金预算拨款收入0万元，与上年预算数相同。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（3）国有资本经营预算拨款收入0万元，与上年预算数相同。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（4）财政专户管理资金收入0万元，与上年预算数相同。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（5）事业收入0万元，与上年预算数相同。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（6）事业单位经营收入0万元，与上年预算数相同。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（7）上级补助收入0万元，与上年预算数相同。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（8）附属单位上缴收入0万元，与上年预算数相同。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（9）其他收入0万元，与上年预算数相同。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2．上年结转结余为0万元。与上年预算数相同。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（二）支出预算总计719.79万元。包括：</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1．本年支出合计719.79万元。</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（1）一般公共服务支出（类）支出379.48万元，主要用于保障机构正常运转、完成工作任务而发生的人员支出和公用支出。与上年相比增加18.52万元，增长5.13%。主要原因是新增2名在职工作人员。</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（2）社会保障和就业支出（类）支出96.52万元，主要用于工作人员的基本养老保险及职业年金缴费、退休人员生活补贴等。与上年相比增加8.06万元，增长9.11%。主要原因是新增2名在职工作人员。</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（3）住房保障支出（类）支出243.79万元，主要用于工作人员的住房公积金以及提租补贴。与上年相比增加23.63万元，增长10.73%。主要原因是新增2名在职工作人员。</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2．年终结转结余为0万元。</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二、收入预算情况说明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南京市发展和改革委员会价格认证中心2026年收入预算合计719.79万元，包括本年收入719.79万元，上年结转结余0万元。</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本年一般公共预算收入719.79万元，占100%；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本年政府性基金预算收入0万元，占0%；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本年国有资本经营预算收入0万元，占0%；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本年财政专户管理资金0万元，占0%；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本年事业收入0万元，占0%；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本年事业单位经营收入0万元，占0%；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本年上级补助收入0万元，占0%；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本年附属单位上缴收入0万元，占0%；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本年其他收入0万元，占0%；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上年结转结余的一般公共预算收入0万元，占0%；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上年结转结余的政府性基金预算收入0万元，占0%；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上年结转结余的国有资本经营预算收入0万元，占0%；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上年结转结余的财政专户管理资金0万元，占0%；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上年结转结余的单位资金0万元，占0%。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3"/>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三、支出预算情况说明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南京市发展和改革委员会价格认证中心2026年支出预算合计719.79万元，其中：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基本支出704.79万元，占97.92%；</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项目支出15万元，占2.08%；</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事业单位经营支出0万元，占0%；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上缴上级支出0万元，占0%；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对附属单位补助支出0万元，占0%。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四、财政拨款收支预算总体情况说明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南京市发展和改革委员会价格认证中心2026年度财政拨款收、支总预算719.79万元。与上年相比，财政拨款收、支总计各增加50.21万元，增长7.5%。主要原因是政策性调整。</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五、财政拨款支出预算情况说明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南京市发展和改革委员会价格认证中心2026年财政拨款预算支出719.79万元，占本年支出合计的100%。与上年相比，财政拨款支出增加50.21万元，增长7.5%。主要原因是政策性调整。</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（一）一般公共服务支出（类）</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1.发展与改革事务（款）行政运行（项）支出364.48万元，与上年相比增加15.52万元，增长4.45%。主要原因是新增2名在职工作人员。</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2.发展与改革事务（款）物价管理（项）支出15万元，与上年相比增加3万元，增长25%。主要原因是落实安可替代计划，购置信创电脑。</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（二）社会保障和就业支出（类）</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1.行政事业单位养老支出（款）行政单位离退休（项）支出33.66万元，与上年相比增加4.96万元，增长17.28%。主要原因是新增2名在职工作人员。</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2.行政事业单位养老支出（款）机关事业单位基本养老保险缴费支出（项）支出41.91万元，与上年相比增加2.07万元，增长5.2%。主要原因是新增2名在职工作人员。</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3.行政事业单位养老支出（款）机关事业单位职业年金缴费支出（项）支出20.95万元，与上年相比增加1.03万元，增长5.17%。主要原因是新增2名在职工作人员。</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（三）住房保障支出（类）</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1.住房改革支出（款）住房公积金（项）支出51.29万元，与上年相比增加6.85万元，增长15.41%。主要原因是新增2名在职工作人员。</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2.住房改革支出（款）提租补贴（项）支出192.5万元，与上年相比增加16.78万元，增长9.55%。主要原因是新增2名在职工作人员。</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六、财政拨款基本支出预算情况说明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南京市发展和改革委员会价格认证中心2026年度财政拨款基本支出预算704.79万元，其中：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人员经费658.88万元。主要包括：基本工资、津贴补贴、奖金、机关事业单位基本养老保险缴费、职业年金缴费、职工基本医疗保险缴费、其他社会保障缴费、住房公积金、医疗费、退休费、其他对个人和家庭的补助、其他支出。</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（二）公用经费45.91万元。主要包括：办公费、印刷费、邮电费、差旅费、会议费、培训费、公务接待费、工会经费、其他交通费用、其他商品和服务支出。</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七、一般公共预算支出预算情况说明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南京市发展和改革委员会价格认证中心2026年一般公共预算财政拨款支出预算719.79万元，与上年相比增加50.21万元，增长7.5%。主要原因是政策性调整。</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八、一般公共预算基本支出预算情况说明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南京市发展和改革委员会价格认证中心2026年度一般公共预算财政拨款基本支出预算704.79万元，其中：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人员经费658.88万元。主要包括：基本工资、津贴补贴、奖金、机关事业单位基本养老保险缴费、职业年金缴费、职工基本医疗保险缴费、其他社会保障缴费、住房公积金、医疗费、退休费、其他对个人和家庭的补助、其他支出。</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（二）公用经费45.91万元。主要包括：办公费、印刷费、邮电费、差旅费、会议费、培训费、公务接待费、工会经费、其他交通费用、其他商品和服务支出。</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九、一般公共预算“三公”经费、会议费、培训费支出预算情况说明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发展和改革委员会价格认证中心2026年度一般公共预算拨款安排的“三公”经费支出预算1万元，比上年预算减少0.76万元，变动原因根据政策要求压缩“三公”经费支出。其中，因公出国（境）费支出0万元，占“三公”经费的0%；公务用车购置及运行维护费支出0万元，占“三公”经费的0%；公务接待费支出1万元，占“三公”经费的100%。具体情况如下：</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1．因公出国（境）费预算支出0万元，与上年预算数相同。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2．公务用车购置及运行维护费预算支出0万元。其中：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（1）公务用车购置预算支出0万元，与上年预算数相同。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（2）公务用车运行维护费预算支出0万元，与上年预算数相同。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3．公务接待费预算支出1万元，比上年预算减少0.76万元，主要原因是根据政策要求压缩“三公”经费支出。</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南京市发展和改革委员会价格认证中心2026年度一般公共预算拨款安排的会议费预算支出2万元，比上年预算减少1.2万元，主要原因是根据政策要求压缩公用经费支出。</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南京市发展和改革委员会价格认证中心2026年度一般公共预算拨款安排的培训费预算支出2万元，比上年预算减少2万元，主要原因是根据政策要求压缩公用经费支出。</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十、政府性基金预算支出预算情况说明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南京市发展和改革委员会价格认证中心2026年政府性基金支出预算支出0万元。与上年预算数相同。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十一、国有资本经营预算支出预算情况说明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南京市发展和改革委员会价格认证中心2026年国有资本经营预算支出0万元。与上年预算数相同。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十二、一般公共预算机关运行经费支出预算情况说明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2026年本单位一般公共预算机关运行经费预算支出45.91万元，与上年相比减少3.85万元，减少7.74%。主要原因是根据政策要求压缩公用经费支出。</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十三、政府采购支出预算情况说明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2026年度政府采购支出预算总额5.2万元，其中：拟采购货物支出5.2万元、拟采购工程支出0万元、拟采购服务支出0万元。</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十四、国有资产占用情况说明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单位共有车辆0辆，其中，副部（省）级及以上领导用车0辆、主要负责人用车0辆、机要通信用车0辆、应急保障用车0辆、执法执勤用车0辆、特种专业技术用车0辆、离退休干部用车0辆，其他用车0辆；单价100万元（含）以上的设备0台（套）。</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十五、预算绩效目标设置情况说明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度，本单位整体支出纳入绩效目标管理，涉及财政性资金719.79万元；本单位共2个项目纳入绩效目标管理，涉及财政性资金合计15万元，占财政性资金(人员类和运转类中的公用经费项目支出除外)总额的比例为100%。</w:t>
      </w:r>
      <w:r>
        <w:rPr>
          <w:rFonts w:ascii="仿宋" w:eastAsia="仿宋" w:hAnsi="仿宋" w:cs="仿宋"/>
          <w:u w:color="auto"/>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一、财政拨款</w:t>
      </w:r>
      <w:r>
        <w:rPr>
          <w:b w:val="on"/>
          <w:rFonts w:ascii="仿宋" w:eastAsia="仿宋" w:hAnsi="仿宋" w:cs="仿宋"/>
          <w:u w:color="auto"/>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二、财政专户管理资金</w:t>
      </w:r>
      <w:r>
        <w:rPr>
          <w:b w:val="on"/>
          <w:rFonts w:ascii="仿宋" w:eastAsia="仿宋" w:hAnsi="仿宋" w:cs="仿宋"/>
          <w:u w:color="auto"/>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三、单位资金</w:t>
      </w:r>
      <w:r>
        <w:rPr>
          <w:b w:val="on"/>
          <w:rFonts w:ascii="仿宋" w:eastAsia="仿宋" w:hAnsi="仿宋" w:cs="仿宋"/>
          <w:u w:color="auto"/>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四、基本支出</w:t>
      </w:r>
      <w:r>
        <w:rPr>
          <w:b w:val="on"/>
          <w:rFonts w:ascii="仿宋" w:eastAsia="仿宋" w:hAnsi="仿宋" w:cs="仿宋"/>
          <w:u w:color="auto"/>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五、项目支出</w:t>
      </w:r>
      <w:r>
        <w:rPr>
          <w:b w:val="on"/>
          <w:rFonts w:ascii="仿宋" w:eastAsia="仿宋" w:hAnsi="仿宋" w:cs="仿宋"/>
          <w:u w:color="auto"/>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六、“三公”经费</w:t>
      </w:r>
      <w:r>
        <w:rPr>
          <w:b w:val="on"/>
          <w:rFonts w:ascii="仿宋" w:eastAsia="仿宋" w:hAnsi="仿宋" w:cs="仿宋"/>
          <w:u w:color="auto"/>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七、机关运行经费</w:t>
      </w:r>
      <w:r>
        <w:rPr>
          <w:b w:val="on"/>
          <w:rFonts w:ascii="仿宋" w:eastAsia="仿宋" w:hAnsi="仿宋" w:cs="仿宋"/>
          <w:u w:color="auto"/>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八、一般公共服务支出(类)发展与改革事务(款)行政运行(项)</w:t>
      </w:r>
      <w:r>
        <w:rPr>
          <w:b w:val="on"/>
          <w:rFonts w:ascii="仿宋" w:eastAsia="仿宋" w:hAnsi="仿宋" w:cs="仿宋"/>
          <w:u w:color="auto"/>
        </w:rPr>
        <w:t>：</w:t>
      </w:r>
      <w:r>
        <w:rPr>
          <w:rFonts w:hint="eastAsia" w:ascii="仿宋" w:hAnsi="仿宋" w:eastAsia="仿宋" w:cs="仿宋"/>
        </w:rPr>
        <w:t>反映行政单位（包括实行公务员管理的事业单位）的基本支出。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九、一般公共服务支出(类)发展与改革事务(款)物价管理(项)</w:t>
      </w:r>
      <w:r>
        <w:rPr>
          <w:b w:val="on"/>
          <w:rFonts w:ascii="仿宋" w:eastAsia="仿宋" w:hAnsi="仿宋" w:cs="仿宋"/>
          <w:u w:color="auto"/>
        </w:rPr>
        <w:t>：</w:t>
      </w:r>
      <w:r>
        <w:rPr>
          <w:rFonts w:hint="eastAsia" w:ascii="仿宋" w:hAnsi="仿宋" w:eastAsia="仿宋" w:cs="仿宋"/>
        </w:rPr>
        <w:t>反映物价管理方面的支出。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十、社会保障和就业支出(类)行政事业单位养老支出(款)行政单位离退休(项)</w:t>
      </w:r>
      <w:r>
        <w:rPr>
          <w:b w:val="on"/>
          <w:rFonts w:ascii="仿宋" w:eastAsia="仿宋" w:hAnsi="仿宋" w:cs="仿宋"/>
          <w:u w:color="auto"/>
        </w:rPr>
        <w:t>：</w:t>
      </w:r>
      <w:r>
        <w:rPr>
          <w:rFonts w:hint="eastAsia" w:ascii="仿宋" w:hAnsi="仿宋" w:eastAsia="仿宋" w:cs="仿宋"/>
        </w:rPr>
        <w:t>反映行政单位（包括实行公务员管理的事业单位）开支的离退休经费。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十一、社会保障和就业支出(类)行政事业单位养老支出(款)机关事业单位基本养老保险缴费支出(项)</w:t>
      </w:r>
      <w:r>
        <w:rPr>
          <w:b w:val="on"/>
          <w:rFonts w:ascii="仿宋" w:eastAsia="仿宋" w:hAnsi="仿宋" w:cs="仿宋"/>
          <w:u w:color="auto"/>
        </w:rPr>
        <w:t>：</w:t>
      </w:r>
      <w:r>
        <w:rPr>
          <w:rFonts w:hint="eastAsia" w:ascii="仿宋" w:hAnsi="仿宋" w:eastAsia="仿宋" w:cs="仿宋"/>
        </w:rPr>
        <w:t>反映机关事业单位实施养老保险制度由单位缴纳的基本养老保险费支出。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十二、社会保障和就业支出(类)行政事业单位养老支出(款)机关事业单位职业年金缴费支出(项)</w:t>
      </w:r>
      <w:r>
        <w:rPr>
          <w:b w:val="on"/>
          <w:rFonts w:ascii="仿宋" w:eastAsia="仿宋" w:hAnsi="仿宋" w:cs="仿宋"/>
          <w:u w:color="auto"/>
        </w:rPr>
        <w:t>：</w:t>
      </w:r>
      <w:r>
        <w:rPr>
          <w:rFonts w:hint="eastAsia" w:ascii="仿宋" w:hAnsi="仿宋" w:eastAsia="仿宋" w:cs="仿宋"/>
        </w:rPr>
        <w:t>反映机关事业单位实施养老保险制度由单位实际缴纳的职业年金支出（含职业年金补记支出）。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十三、住房保障支出(类)住房改革支出(款)住房公积金(项)</w:t>
      </w:r>
      <w:r>
        <w:rPr>
          <w:b w:val="on"/>
          <w:rFonts w:ascii="仿宋" w:eastAsia="仿宋" w:hAnsi="仿宋" w:cs="仿宋"/>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十四、住房保障支出(类)住房改革支出(款)提租补贴(项)</w:t>
      </w:r>
      <w:r>
        <w:rPr>
          <w:b w:val="on"/>
          <w:rFonts w:ascii="仿宋" w:eastAsia="仿宋" w:hAnsi="仿宋" w:cs="仿宋"/>
          <w:u w:color="auto"/>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roman"/>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u/>
      </w:rPr>
      <w:t>南京市发展和改革委员会价格认证中心</w:t>
    </w:r>
    <w:r>
      <w:rPr>
        <w:u w:color="auto"/>
      </w:rPr>
      <w:t>2026</w:t>
    </w:r>
    <w:r>
      <w:rPr>
        <w:u w:color="auto"/>
      </w:rPr>
      <w:t>年度</w:t>
    </w:r>
    <w:r>
      <w:rPr>
        <w:u w:color="auto"/>
      </w:rPr>
      <w:t>单位</w:t>
    </w:r>
    <w:r>
      <w:rPr>
        <w:u w:color="auto"/>
      </w:rP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46FE0"/>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05098"/>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Layout w:type="fixed"/>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6.xml" Type="http://schemas.openxmlformats.org/officeDocument/2006/relationships/footer"/><Relationship Id="rId11" Target="footer7.xml" Type="http://schemas.openxmlformats.org/officeDocument/2006/relationships/footer"/><Relationship Id="rId12" Target="footer8.xml" Type="http://schemas.openxmlformats.org/officeDocument/2006/relationships/footer"/><Relationship Id="rId13" Target="footer9.xml" Type="http://schemas.openxmlformats.org/officeDocument/2006/relationships/footer"/><Relationship Id="rId14" Target="footer10.xml" Type="http://schemas.openxmlformats.org/officeDocument/2006/relationships/footer"/><Relationship Id="rId15" Target="footer11.xml" Type="http://schemas.openxmlformats.org/officeDocument/2006/relationships/footer"/><Relationship Id="rId16" Target="footer12.xml" Type="http://schemas.openxmlformats.org/officeDocument/2006/relationships/footer"/><Relationship Id="rId17" Target="footer13.xml" Type="http://schemas.openxmlformats.org/officeDocument/2006/relationships/footer"/><Relationship Id="rId18" Target="footer14.xml" Type="http://schemas.openxmlformats.org/officeDocument/2006/relationships/footer"/><Relationship Id="rId19" Target="footer15.xml" Type="http://schemas.openxmlformats.org/officeDocument/2006/relationships/footer"/><Relationship Id="rId2" Target="settings.xml" Type="http://schemas.openxmlformats.org/officeDocument/2006/relationships/settings"/><Relationship Id="rId20" Target="theme/theme1.xml" Type="http://schemas.openxmlformats.org/officeDocument/2006/relationships/theme"/><Relationship Id="rId21" Target="../customXml/item1.xml" Type="http://schemas.openxmlformats.org/officeDocument/2006/relationships/customXml"/><Relationship Id="rId22" Target="fontTable.xml" Type="http://schemas.openxmlformats.org/officeDocument/2006/relationships/fontTable"/><Relationship Id="rId23" Target="media/image1.jpeg" Type="http://schemas.openxmlformats.org/officeDocument/2006/relationships/image"/><Relationship Id="rId24" Target="media/image2.jpeg" Type="http://schemas.openxmlformats.org/officeDocument/2006/relationships/image"/><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footer3.xml" Type="http://schemas.openxmlformats.org/officeDocument/2006/relationships/footer"/><Relationship Id="rId8" Target="footer4.xml" Type="http://schemas.openxmlformats.org/officeDocument/2006/relationships/footer"/><Relationship Id="rId9" Target="footer5.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1911</Words>
  <Characters>6537</Characters>
  <Paragraphs>501</Paragraphs>
  <TotalTime>0</TotalTime>
  <ScaleCrop>false</ScaleCrop>
  <LinksUpToDate>false</LinksUpToDate>
  <CharactersWithSpaces>6554</CharactersWithSpaces>
  <Application>WPS Office_11.1.0.9021_F1E327BC-269C-435d-A152-05C5408002CA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Administrator</cp:lastModifiedBy>
  <dcterms:modified xsi:type="dcterms:W3CDTF">2026-02-26T06:28:26Z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2052-11.1.0.9021</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