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6BBDD">
      <w:pPr>
        <w:spacing w:line="588"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w:t>
      </w:r>
    </w:p>
    <w:p w14:paraId="77C4600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方正小标宋_GBK" w:eastAsia="方正小标宋_GBK" w:cs="Times New Roman"/>
          <w:bCs/>
          <w:color w:val="3D3D3D"/>
          <w:kern w:val="0"/>
          <w:sz w:val="44"/>
          <w:szCs w:val="44"/>
          <w:shd w:val="clear" w:color="auto" w:fill="FFFFFF"/>
          <w:lang w:val="en-US" w:eastAsia="zh-CN"/>
        </w:rPr>
      </w:pPr>
      <w:r>
        <w:rPr>
          <w:rFonts w:ascii="Times New Roman" w:hAnsi="方正小标宋_GBK" w:eastAsia="方正小标宋_GBK" w:cs="Times New Roman"/>
          <w:bCs/>
          <w:color w:val="3D3D3D"/>
          <w:kern w:val="0"/>
          <w:sz w:val="44"/>
          <w:szCs w:val="44"/>
          <w:shd w:val="clear" w:color="auto" w:fill="FFFFFF"/>
        </w:rPr>
        <w:t>南京市</w:t>
      </w:r>
      <w:r>
        <w:rPr>
          <w:rFonts w:hint="eastAsia" w:ascii="Times New Roman" w:hAnsi="方正小标宋_GBK" w:eastAsia="方正小标宋_GBK" w:cs="Times New Roman"/>
          <w:bCs/>
          <w:color w:val="3D3D3D"/>
          <w:kern w:val="0"/>
          <w:sz w:val="44"/>
          <w:szCs w:val="44"/>
          <w:shd w:val="clear" w:color="auto" w:fill="FFFFFF"/>
          <w:lang w:val="en-US" w:eastAsia="zh-CN"/>
        </w:rPr>
        <w:t>发展和改革委员会2026年度</w:t>
      </w:r>
    </w:p>
    <w:p w14:paraId="71C3BF6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cs="Times New Roman"/>
        </w:rPr>
      </w:pPr>
      <w:r>
        <w:rPr>
          <w:rFonts w:hint="eastAsia" w:ascii="Times New Roman" w:hAnsi="方正小标宋_GBK" w:eastAsia="方正小标宋_GBK" w:cs="Times New Roman"/>
          <w:bCs/>
          <w:color w:val="3D3D3D"/>
          <w:kern w:val="0"/>
          <w:sz w:val="44"/>
          <w:szCs w:val="44"/>
          <w:shd w:val="clear" w:color="auto" w:fill="FFFFFF"/>
          <w:lang w:val="en-US" w:eastAsia="zh-CN"/>
        </w:rPr>
        <w:t>重点</w:t>
      </w:r>
      <w:r>
        <w:rPr>
          <w:rFonts w:ascii="Times New Roman" w:hAnsi="方正小标宋_GBK" w:eastAsia="方正小标宋_GBK" w:cs="Times New Roman"/>
          <w:bCs/>
          <w:color w:val="3D3D3D"/>
          <w:kern w:val="0"/>
          <w:sz w:val="44"/>
          <w:szCs w:val="44"/>
          <w:shd w:val="clear" w:color="auto" w:fill="FFFFFF"/>
        </w:rPr>
        <w:t>课题研究要点</w:t>
      </w:r>
    </w:p>
    <w:p w14:paraId="309C83B6">
      <w:pPr>
        <w:rPr>
          <w:rFonts w:ascii="Times New Roman" w:hAnsi="Times New Roman" w:cs="Times New Roman"/>
        </w:rPr>
      </w:pPr>
    </w:p>
    <w:p w14:paraId="3F936FB0">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黑体_GBK"/>
          <w:sz w:val="32"/>
          <w:szCs w:val="32"/>
        </w:rPr>
      </w:pPr>
      <w:r>
        <w:rPr>
          <w:rFonts w:hint="eastAsia" w:ascii="Times New Roman" w:hAnsi="Times New Roman" w:eastAsia="方正黑体_GBK"/>
          <w:color w:val="111111"/>
          <w:sz w:val="32"/>
          <w:szCs w:val="32"/>
          <w:shd w:val="clear" w:color="auto" w:fill="FFFFFF"/>
        </w:rPr>
        <w:t>一</w:t>
      </w:r>
      <w:r>
        <w:rPr>
          <w:rFonts w:ascii="Times New Roman" w:hAnsi="Times New Roman" w:eastAsia="方正黑体_GBK"/>
          <w:sz w:val="32"/>
          <w:szCs w:val="32"/>
        </w:rPr>
        <w:t>、</w:t>
      </w:r>
      <w:r>
        <w:rPr>
          <w:rFonts w:hint="default" w:ascii="Times New Roman" w:hAnsi="Times New Roman" w:eastAsia="方正黑体_GBK" w:cs="Times New Roman"/>
          <w:color w:val="111111"/>
          <w:sz w:val="32"/>
          <w:szCs w:val="32"/>
          <w:shd w:val="clear" w:color="auto" w:fill="FFFFFF"/>
          <w:lang w:val="en-US" w:eastAsia="zh-CN"/>
        </w:rPr>
        <w:t>南京增强经济竞争力实现全省走在前的对策建议</w:t>
      </w:r>
    </w:p>
    <w:p w14:paraId="5A91A2E5">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ascii="Times New Roman" w:hAnsi="方正楷体_GBK" w:eastAsia="方正楷体_GBK"/>
          <w:color w:val="111111"/>
          <w:sz w:val="32"/>
          <w:szCs w:val="32"/>
          <w:shd w:val="clear" w:color="auto" w:fill="FFFFFF"/>
        </w:rPr>
        <w:t>（一）研究要点</w:t>
      </w:r>
    </w:p>
    <w:p w14:paraId="2BE1B807">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方正楷体_GBK" w:eastAsia="方正楷体_GBK"/>
          <w:color w:val="111111"/>
          <w:sz w:val="32"/>
          <w:szCs w:val="32"/>
          <w:shd w:val="clear" w:color="auto" w:fill="FFFFFF"/>
          <w:lang w:val="en-US" w:eastAsia="zh-CN"/>
        </w:rPr>
      </w:pPr>
      <w:r>
        <w:rPr>
          <w:rFonts w:hint="eastAsia" w:ascii="Times New Roman" w:hAnsi="方正楷体_GBK" w:eastAsia="方正楷体_GBK"/>
          <w:color w:val="111111"/>
          <w:sz w:val="32"/>
          <w:szCs w:val="32"/>
          <w:shd w:val="clear" w:color="auto" w:fill="FFFFFF"/>
          <w:lang w:val="en-US" w:eastAsia="zh-CN"/>
        </w:rPr>
        <w:t>本课题将重点研究但不限于以下方面：</w:t>
      </w:r>
    </w:p>
    <w:p w14:paraId="24F862B5">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1、</w:t>
      </w:r>
      <w:r>
        <w:rPr>
          <w:rFonts w:hint="default" w:ascii="Times New Roman" w:hAnsi="Times New Roman" w:eastAsia="方正仿宋_GBK" w:cs="Times New Roman"/>
          <w:sz w:val="32"/>
          <w:szCs w:val="32"/>
          <w:lang w:val="en-US" w:eastAsia="zh-CN"/>
        </w:rPr>
        <w:t>经济增长落差的问题溯源。从产业结构演进、新旧动能转换、区域板块支撑等维度，对南京与全省平均及苏南先进城市的差距进行量化分析与比较分析，精准识别制约经济增长的关键领域和薄弱环节</w:t>
      </w:r>
      <w:r>
        <w:rPr>
          <w:rFonts w:ascii="Times New Roman" w:hAnsi="Times New Roman" w:eastAsia="方正仿宋_GBK"/>
          <w:sz w:val="32"/>
          <w:szCs w:val="32"/>
        </w:rPr>
        <w:t>；</w:t>
      </w:r>
    </w:p>
    <w:p w14:paraId="5C09FC8C">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w:t>
      </w:r>
      <w:r>
        <w:rPr>
          <w:rFonts w:hint="default" w:ascii="Times New Roman" w:hAnsi="Times New Roman" w:eastAsia="方正仿宋_GBK" w:cs="Times New Roman"/>
          <w:sz w:val="32"/>
          <w:szCs w:val="32"/>
          <w:lang w:val="en-US" w:eastAsia="zh-CN"/>
        </w:rPr>
        <w:t>发展标兵城市的有益借鉴。聚焦同类城市、先进城市在稳增长、促发展等方面的创新实践和有效举措，系统梳理并总结提炼可复制、可落地的经验启示，为南京持续增强经济竞争力提供参考</w:t>
      </w:r>
      <w:r>
        <w:rPr>
          <w:rFonts w:ascii="Times New Roman" w:hAnsi="Times New Roman" w:eastAsia="方正仿宋_GBK"/>
          <w:sz w:val="32"/>
          <w:szCs w:val="32"/>
        </w:rPr>
        <w:t>；</w:t>
      </w:r>
    </w:p>
    <w:p w14:paraId="0B7824DA">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sz w:val="32"/>
          <w:szCs w:val="32"/>
        </w:rPr>
        <w:t>3、</w:t>
      </w:r>
      <w:r>
        <w:rPr>
          <w:rFonts w:hint="default" w:ascii="Times New Roman" w:hAnsi="Times New Roman" w:eastAsia="方正仿宋_GBK" w:cs="Times New Roman"/>
          <w:sz w:val="32"/>
          <w:szCs w:val="32"/>
          <w:lang w:val="en-US" w:eastAsia="zh-CN"/>
        </w:rPr>
        <w:t>提高经济增速的潜力分析。结合南京资源禀赋、产业基础、比较优势，系统分析南京在产业强市、科产融合、城市转型等方面的动力支撑，剖析潜力释放的重点领域、时间节点和关键路径</w:t>
      </w:r>
      <w:r>
        <w:rPr>
          <w:rFonts w:ascii="Times New Roman" w:hAnsi="Times New Roman" w:eastAsia="方正仿宋_GBK"/>
          <w:sz w:val="32"/>
          <w:szCs w:val="32"/>
        </w:rPr>
        <w:t>；</w:t>
      </w:r>
    </w:p>
    <w:p w14:paraId="04275752">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sz w:val="32"/>
          <w:szCs w:val="32"/>
          <w:lang w:val="en-US" w:eastAsia="zh-CN"/>
        </w:rPr>
        <w:t>4、</w:t>
      </w:r>
      <w:r>
        <w:rPr>
          <w:rFonts w:hint="default" w:ascii="Times New Roman" w:hAnsi="Times New Roman" w:eastAsia="方正仿宋_GBK" w:cs="Times New Roman"/>
          <w:sz w:val="32"/>
          <w:szCs w:val="32"/>
          <w:lang w:val="en-US" w:eastAsia="zh-CN"/>
        </w:rPr>
        <w:t>达超全省平均的对策建议。坚持补短板与扬优势相结合、短期突破与长期发力相结合，围绕放大省会产业、科创、人才、金融等综合优势，加快培育新质生产力，研究形成一套兼具前瞻性、针对性的政策建议，为市委市政府提供决策参</w:t>
      </w:r>
      <w:r>
        <w:rPr>
          <w:rFonts w:hint="eastAsia" w:ascii="Times New Roman" w:hAnsi="Times New Roman" w:eastAsia="方正仿宋_GBK" w:cs="Times New Roman"/>
          <w:sz w:val="32"/>
          <w:szCs w:val="32"/>
          <w:lang w:val="en-US" w:eastAsia="zh-CN"/>
        </w:rPr>
        <w:t>考。</w:t>
      </w:r>
    </w:p>
    <w:p w14:paraId="12A36ABC">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ascii="Times New Roman" w:hAnsi="方正楷体_GBK" w:eastAsia="方正楷体_GBK"/>
          <w:color w:val="111111"/>
          <w:sz w:val="32"/>
          <w:szCs w:val="32"/>
          <w:shd w:val="clear" w:color="auto" w:fill="FFFFFF"/>
        </w:rPr>
        <w:t>（二）经费预算</w:t>
      </w:r>
    </w:p>
    <w:p w14:paraId="28B366E3">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不超过</w:t>
      </w:r>
      <w:r>
        <w:rPr>
          <w:rFonts w:hint="eastAsia" w:ascii="Times New Roman" w:hAnsi="Times New Roman" w:eastAsia="方正仿宋_GBK"/>
          <w:sz w:val="32"/>
          <w:szCs w:val="32"/>
        </w:rPr>
        <w:t>20</w:t>
      </w:r>
      <w:r>
        <w:rPr>
          <w:rFonts w:ascii="Times New Roman" w:hAnsi="Times New Roman" w:eastAsia="方正仿宋_GBK"/>
          <w:sz w:val="32"/>
          <w:szCs w:val="32"/>
        </w:rPr>
        <w:t>万元。</w:t>
      </w:r>
    </w:p>
    <w:p w14:paraId="58B99751">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hint="eastAsia" w:ascii="Times New Roman" w:hAnsi="方正楷体_GBK" w:eastAsia="方正楷体_GBK"/>
          <w:color w:val="111111"/>
          <w:sz w:val="32"/>
          <w:szCs w:val="32"/>
          <w:shd w:val="clear" w:color="auto" w:fill="FFFFFF"/>
        </w:rPr>
        <w:t>（三）完成时限</w:t>
      </w:r>
    </w:p>
    <w:p w14:paraId="7287D5C7">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rPr>
        <w:t>月3</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日前。</w:t>
      </w:r>
    </w:p>
    <w:p w14:paraId="6F963FD1">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黑体_GBK"/>
          <w:color w:val="111111"/>
          <w:sz w:val="32"/>
          <w:szCs w:val="32"/>
          <w:shd w:val="clear" w:color="auto" w:fill="FFFFFF"/>
        </w:rPr>
      </w:pPr>
      <w:r>
        <w:rPr>
          <w:rFonts w:hint="eastAsia" w:ascii="Times New Roman" w:hAnsi="Times New Roman" w:eastAsia="方正黑体_GBK"/>
          <w:color w:val="111111"/>
          <w:sz w:val="32"/>
          <w:szCs w:val="32"/>
          <w:shd w:val="clear" w:color="auto" w:fill="FFFFFF"/>
          <w:lang w:val="en-US" w:eastAsia="zh-CN"/>
        </w:rPr>
        <w:t>二、</w:t>
      </w:r>
      <w:r>
        <w:rPr>
          <w:rFonts w:hint="default" w:ascii="Times New Roman" w:hAnsi="Times New Roman" w:eastAsia="方正黑体_GBK" w:cs="Times New Roman"/>
          <w:color w:val="111111"/>
          <w:sz w:val="32"/>
          <w:szCs w:val="32"/>
          <w:shd w:val="clear" w:color="auto" w:fill="FFFFFF"/>
          <w:lang w:val="en-US" w:eastAsia="zh-CN"/>
        </w:rPr>
        <w:t>立足新形势新任务优化高质量发展考核体系的调查研究</w:t>
      </w:r>
    </w:p>
    <w:p w14:paraId="16409F8F">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ascii="Times New Roman" w:hAnsi="方正楷体_GBK" w:eastAsia="方正楷体_GBK"/>
          <w:color w:val="111111"/>
          <w:sz w:val="32"/>
          <w:szCs w:val="32"/>
          <w:shd w:val="clear" w:color="auto" w:fill="FFFFFF"/>
        </w:rPr>
        <w:t>（一）研究要点</w:t>
      </w:r>
    </w:p>
    <w:p w14:paraId="2122068A">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方正楷体_GBK" w:eastAsia="方正楷体_GBK"/>
          <w:color w:val="111111"/>
          <w:sz w:val="32"/>
          <w:szCs w:val="32"/>
          <w:shd w:val="clear" w:color="auto" w:fill="FFFFFF"/>
          <w:lang w:val="en-US" w:eastAsia="zh-CN"/>
        </w:rPr>
      </w:pPr>
      <w:r>
        <w:rPr>
          <w:rFonts w:hint="eastAsia" w:ascii="Times New Roman" w:hAnsi="方正楷体_GBK" w:eastAsia="方正楷体_GBK"/>
          <w:color w:val="111111"/>
          <w:sz w:val="32"/>
          <w:szCs w:val="32"/>
          <w:shd w:val="clear" w:color="auto" w:fill="FFFFFF"/>
          <w:lang w:val="en-US" w:eastAsia="zh-CN"/>
        </w:rPr>
        <w:t>本课题将重点研究但不限于以下方面：</w:t>
      </w:r>
    </w:p>
    <w:p w14:paraId="22BD76AC">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1、</w:t>
      </w:r>
      <w:r>
        <w:rPr>
          <w:rFonts w:hint="default" w:ascii="Times New Roman" w:hAnsi="Times New Roman" w:eastAsia="方正仿宋_GBK" w:cs="Times New Roman"/>
          <w:sz w:val="32"/>
          <w:szCs w:val="32"/>
          <w:lang w:val="en-US" w:eastAsia="zh-CN"/>
        </w:rPr>
        <w:t>探讨江苏省考</w:t>
      </w:r>
      <w:r>
        <w:rPr>
          <w:rFonts w:hint="eastAsia" w:ascii="Times New Roman" w:hAnsi="Times New Roman" w:eastAsia="方正仿宋_GBK" w:cs="Times New Roman"/>
          <w:sz w:val="32"/>
          <w:szCs w:val="32"/>
          <w:lang w:val="en-US" w:eastAsia="zh-CN"/>
        </w:rPr>
        <w:t>核</w:t>
      </w:r>
      <w:r>
        <w:rPr>
          <w:rFonts w:hint="default" w:ascii="Times New Roman" w:hAnsi="Times New Roman" w:eastAsia="方正仿宋_GBK" w:cs="Times New Roman"/>
          <w:sz w:val="32"/>
          <w:szCs w:val="32"/>
          <w:lang w:val="en-US" w:eastAsia="zh-CN"/>
        </w:rPr>
        <w:t>制度演变过程以及对南京市考核工作的影响，剖析省考</w:t>
      </w:r>
      <w:r>
        <w:rPr>
          <w:rFonts w:hint="eastAsia" w:ascii="Times New Roman" w:hAnsi="Times New Roman" w:eastAsia="方正仿宋_GBK" w:cs="Times New Roman"/>
          <w:sz w:val="32"/>
          <w:szCs w:val="32"/>
          <w:lang w:val="en-US" w:eastAsia="zh-CN"/>
        </w:rPr>
        <w:t>核</w:t>
      </w:r>
      <w:r>
        <w:rPr>
          <w:rFonts w:hint="default" w:ascii="Times New Roman" w:hAnsi="Times New Roman" w:eastAsia="方正仿宋_GBK" w:cs="Times New Roman"/>
          <w:sz w:val="32"/>
          <w:szCs w:val="32"/>
          <w:lang w:val="en-US" w:eastAsia="zh-CN"/>
        </w:rPr>
        <w:t>指标中南京的短板弱项，有效改进完善省对市的纵向传导作用，完善市对区高质量发展考核体系，实现“市考保省考”目标；</w:t>
      </w:r>
    </w:p>
    <w:p w14:paraId="02044957">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sz w:val="32"/>
          <w:szCs w:val="32"/>
          <w:lang w:val="en-US" w:eastAsia="zh-CN"/>
        </w:rPr>
        <w:t>2、</w:t>
      </w:r>
      <w:r>
        <w:rPr>
          <w:rFonts w:hint="default" w:ascii="Times New Roman" w:hAnsi="Times New Roman" w:eastAsia="方正仿宋_GBK" w:cs="Times New Roman"/>
          <w:sz w:val="32"/>
          <w:szCs w:val="32"/>
          <w:lang w:val="en-US" w:eastAsia="zh-CN"/>
        </w:rPr>
        <w:t>聚焦南京、苏州、无锡、常州四个设区市的市对区考核制度间的横向比较，剖析南京与苏锡常三市的考核制度差异及其背后的政策逻辑，提炼苏州、无锡、常州三市考核制度创新点和先进做法，探索其对南京市对区考核的借鉴作用，完善差异化、特色化考核评价体系，进一步调动各板块积极性。</w:t>
      </w:r>
    </w:p>
    <w:p w14:paraId="347A9822">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ascii="Times New Roman" w:hAnsi="方正楷体_GBK" w:eastAsia="方正楷体_GBK"/>
          <w:color w:val="111111"/>
          <w:sz w:val="32"/>
          <w:szCs w:val="32"/>
          <w:shd w:val="clear" w:color="auto" w:fill="FFFFFF"/>
        </w:rPr>
        <w:t>（二）经费预算</w:t>
      </w:r>
    </w:p>
    <w:p w14:paraId="6918BB8B">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不超过</w:t>
      </w:r>
      <w:r>
        <w:rPr>
          <w:rFonts w:hint="eastAsia" w:ascii="Times New Roman" w:hAnsi="Times New Roman" w:eastAsia="方正仿宋_GBK"/>
          <w:sz w:val="32"/>
          <w:szCs w:val="32"/>
          <w:lang w:val="en-US" w:eastAsia="zh-CN"/>
        </w:rPr>
        <w:t>10</w:t>
      </w:r>
      <w:r>
        <w:rPr>
          <w:rFonts w:ascii="Times New Roman" w:hAnsi="Times New Roman" w:eastAsia="方正仿宋_GBK"/>
          <w:sz w:val="32"/>
          <w:szCs w:val="32"/>
        </w:rPr>
        <w:t>万元。</w:t>
      </w:r>
    </w:p>
    <w:p w14:paraId="3ED65AC2">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hint="eastAsia" w:ascii="Times New Roman" w:hAnsi="方正楷体_GBK" w:eastAsia="方正楷体_GBK"/>
          <w:color w:val="111111"/>
          <w:sz w:val="32"/>
          <w:szCs w:val="32"/>
          <w:shd w:val="clear" w:color="auto" w:fill="FFFFFF"/>
        </w:rPr>
        <w:t>（三）完成时限</w:t>
      </w:r>
    </w:p>
    <w:p w14:paraId="59741541">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rPr>
        <w:t>月3</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日前。</w:t>
      </w:r>
    </w:p>
    <w:p w14:paraId="1E634090">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111111"/>
          <w:sz w:val="32"/>
          <w:szCs w:val="32"/>
          <w:shd w:val="clear" w:color="auto" w:fill="FFFFFF"/>
          <w:lang w:val="en-US" w:eastAsia="zh-CN"/>
        </w:rPr>
      </w:pPr>
      <w:r>
        <w:rPr>
          <w:rFonts w:hint="eastAsia" w:ascii="Times New Roman" w:hAnsi="Times New Roman" w:eastAsia="方正黑体_GBK"/>
          <w:color w:val="111111"/>
          <w:sz w:val="32"/>
          <w:szCs w:val="32"/>
          <w:shd w:val="clear" w:color="auto" w:fill="FFFFFF"/>
          <w:lang w:val="en-US" w:eastAsia="zh-CN"/>
        </w:rPr>
        <w:t>三、</w:t>
      </w:r>
      <w:r>
        <w:rPr>
          <w:rFonts w:hint="default" w:ascii="Times New Roman" w:hAnsi="Times New Roman" w:eastAsia="方正黑体_GBK" w:cs="Times New Roman"/>
          <w:color w:val="111111"/>
          <w:sz w:val="32"/>
          <w:szCs w:val="32"/>
          <w:shd w:val="clear" w:color="auto" w:fill="FFFFFF"/>
          <w:lang w:val="en-US" w:eastAsia="zh-CN"/>
        </w:rPr>
        <w:t>南京市服务业新动能培育路径研究</w:t>
      </w:r>
    </w:p>
    <w:p w14:paraId="5F30D165">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ascii="Times New Roman" w:hAnsi="方正楷体_GBK" w:eastAsia="方正楷体_GBK"/>
          <w:color w:val="111111"/>
          <w:sz w:val="32"/>
          <w:szCs w:val="32"/>
          <w:shd w:val="clear" w:color="auto" w:fill="FFFFFF"/>
        </w:rPr>
        <w:t>（一）研究要点</w:t>
      </w:r>
    </w:p>
    <w:p w14:paraId="7831F2C3">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hint="eastAsia" w:ascii="Times New Roman" w:hAnsi="方正楷体_GBK" w:eastAsia="方正楷体_GBK"/>
          <w:color w:val="111111"/>
          <w:sz w:val="32"/>
          <w:szCs w:val="32"/>
          <w:shd w:val="clear" w:color="auto" w:fill="FFFFFF"/>
          <w:lang w:val="en-US" w:eastAsia="zh-CN"/>
        </w:rPr>
        <w:t>本课题将重点研究但不限于以下方面：</w:t>
      </w:r>
    </w:p>
    <w:p w14:paraId="42C68264">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sz w:val="32"/>
          <w:szCs w:val="32"/>
        </w:rPr>
        <w:t>1、</w:t>
      </w:r>
      <w:r>
        <w:rPr>
          <w:rFonts w:hint="default" w:ascii="Times New Roman" w:hAnsi="Times New Roman" w:eastAsia="方正仿宋_GBK" w:cs="Times New Roman"/>
          <w:sz w:val="32"/>
          <w:szCs w:val="32"/>
          <w:lang w:val="en-US" w:eastAsia="zh-CN"/>
        </w:rPr>
        <w:t>紧密围绕南京市作为东部现代服务业中心的发展定位，系统梳理全市服务业发展的阶段性特征与现实基础，精准诊断传统增长动力面临的瓶颈制约，重点聚焦数字经济、科技服务、现代金融、文旅健康等具备高成长性的新领域，深入研判服务业发展趋势与潜在机遇；</w:t>
      </w:r>
    </w:p>
    <w:p w14:paraId="3061CECC">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w:t>
      </w:r>
      <w:r>
        <w:rPr>
          <w:rFonts w:hint="default" w:ascii="Times New Roman" w:hAnsi="Times New Roman" w:eastAsia="方正仿宋_GBK" w:cs="Times New Roman"/>
          <w:sz w:val="32"/>
          <w:szCs w:val="32"/>
          <w:lang w:val="en-US" w:eastAsia="zh-CN"/>
        </w:rPr>
        <w:t>立足供给侧结构性改革与消费升级的双重维度，着力研究如何通过制度创新、要素集聚和场景开放，加快向价值链高端环节延伸，找准服务业新领域拓展的切入点与突破口；</w:t>
      </w:r>
    </w:p>
    <w:p w14:paraId="0F019B67">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sz w:val="32"/>
          <w:szCs w:val="32"/>
          <w:lang w:val="en-US" w:eastAsia="zh-CN"/>
        </w:rPr>
        <w:t>3、</w:t>
      </w:r>
      <w:r>
        <w:rPr>
          <w:rFonts w:hint="default" w:ascii="Times New Roman" w:hAnsi="Times New Roman" w:eastAsia="方正仿宋_GBK" w:cs="Times New Roman"/>
          <w:sz w:val="32"/>
          <w:szCs w:val="32"/>
          <w:lang w:val="en-US" w:eastAsia="zh-CN"/>
        </w:rPr>
        <w:t>围绕服务业发展新主体、新载体、新赛道、新生态、新平台等方面，提出南京培育服务业新动能的可行路径与重点举措，探索具有南京特色的制度创新，为南京构建优质高效、引领区域发展的服务业新体系提供决策参考。</w:t>
      </w:r>
    </w:p>
    <w:p w14:paraId="7B679EBF">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ascii="Times New Roman" w:hAnsi="方正楷体_GBK" w:eastAsia="方正楷体_GBK"/>
          <w:color w:val="111111"/>
          <w:sz w:val="32"/>
          <w:szCs w:val="32"/>
          <w:shd w:val="clear" w:color="auto" w:fill="FFFFFF"/>
        </w:rPr>
        <w:t>（二）经费预算</w:t>
      </w:r>
    </w:p>
    <w:p w14:paraId="5762E4CF">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sz w:val="32"/>
          <w:szCs w:val="32"/>
        </w:rPr>
      </w:pPr>
      <w:r>
        <w:rPr>
          <w:rFonts w:ascii="Times New Roman" w:hAnsi="Times New Roman" w:eastAsia="方正仿宋_GBK"/>
          <w:sz w:val="32"/>
          <w:szCs w:val="32"/>
        </w:rPr>
        <w:t>不超过1</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万元。</w:t>
      </w:r>
    </w:p>
    <w:p w14:paraId="22DDFE59">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方正楷体_GBK" w:eastAsia="方正楷体_GBK"/>
          <w:color w:val="111111"/>
          <w:sz w:val="32"/>
          <w:szCs w:val="32"/>
          <w:shd w:val="clear" w:color="auto" w:fill="FFFFFF"/>
        </w:rPr>
      </w:pPr>
      <w:r>
        <w:rPr>
          <w:rFonts w:hint="eastAsia" w:ascii="Times New Roman" w:hAnsi="方正楷体_GBK" w:eastAsia="方正楷体_GBK"/>
          <w:color w:val="111111"/>
          <w:sz w:val="32"/>
          <w:szCs w:val="32"/>
          <w:shd w:val="clear" w:color="auto" w:fill="FFFFFF"/>
        </w:rPr>
        <w:t>（三）完成时限</w:t>
      </w:r>
    </w:p>
    <w:p w14:paraId="796E1596">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rPr>
        <w:t>月3</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日前。</w:t>
      </w:r>
    </w:p>
    <w:p w14:paraId="5FAD3365">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黑体_GBK" w:cs="Times New Roman"/>
          <w:color w:val="111111"/>
          <w:sz w:val="32"/>
          <w:szCs w:val="32"/>
          <w:shd w:val="clear" w:color="auto" w:fill="FFFFFF"/>
          <w:lang w:val="en-US" w:eastAsia="zh-CN"/>
        </w:rPr>
      </w:pPr>
      <w:r>
        <w:rPr>
          <w:rFonts w:hint="eastAsia" w:ascii="Times New Roman" w:hAnsi="Times New Roman" w:eastAsia="方正黑体_GBK"/>
          <w:color w:val="111111"/>
          <w:sz w:val="32"/>
          <w:szCs w:val="32"/>
          <w:shd w:val="clear" w:color="auto" w:fill="FFFFFF"/>
          <w:lang w:val="en-US" w:eastAsia="zh-CN"/>
        </w:rPr>
        <w:t>四、</w:t>
      </w:r>
      <w:r>
        <w:rPr>
          <w:rFonts w:hint="default" w:ascii="Times New Roman" w:hAnsi="Times New Roman" w:eastAsia="方正黑体_GBK" w:cs="Times New Roman"/>
          <w:color w:val="111111"/>
          <w:sz w:val="32"/>
          <w:szCs w:val="32"/>
          <w:shd w:val="clear" w:color="auto" w:fill="FFFFFF"/>
          <w:lang w:val="en-US" w:eastAsia="zh-CN"/>
        </w:rPr>
        <w:t>南京</w:t>
      </w:r>
      <w:r>
        <w:rPr>
          <w:rFonts w:hint="eastAsia" w:ascii="Times New Roman" w:hAnsi="Times New Roman" w:eastAsia="方正黑体_GBK" w:cs="Times New Roman"/>
          <w:color w:val="111111"/>
          <w:sz w:val="32"/>
          <w:szCs w:val="32"/>
          <w:shd w:val="clear" w:color="auto" w:fill="FFFFFF"/>
          <w:lang w:val="en-US" w:eastAsia="zh-CN"/>
        </w:rPr>
        <w:t>市</w:t>
      </w:r>
      <w:bookmarkStart w:id="0" w:name="_GoBack"/>
      <w:bookmarkEnd w:id="0"/>
      <w:r>
        <w:rPr>
          <w:rFonts w:hint="default" w:ascii="Times New Roman" w:hAnsi="Times New Roman" w:eastAsia="方正黑体_GBK" w:cs="Times New Roman"/>
          <w:color w:val="111111"/>
          <w:sz w:val="32"/>
          <w:szCs w:val="32"/>
          <w:shd w:val="clear" w:color="auto" w:fill="FFFFFF"/>
          <w:lang w:val="en-US" w:eastAsia="zh-CN"/>
        </w:rPr>
        <w:t>民营经济</w:t>
      </w:r>
      <w:r>
        <w:rPr>
          <w:rFonts w:hint="eastAsia" w:ascii="Times New Roman" w:hAnsi="Times New Roman" w:eastAsia="方正黑体_GBK" w:cs="Times New Roman"/>
          <w:color w:val="111111"/>
          <w:sz w:val="32"/>
          <w:szCs w:val="32"/>
          <w:shd w:val="clear" w:color="auto" w:fill="FFFFFF"/>
          <w:lang w:val="en-US" w:eastAsia="zh-CN"/>
        </w:rPr>
        <w:t>立法</w:t>
      </w:r>
      <w:r>
        <w:rPr>
          <w:rFonts w:hint="default" w:ascii="Times New Roman" w:hAnsi="Times New Roman" w:eastAsia="方正黑体_GBK" w:cs="Times New Roman"/>
          <w:color w:val="111111"/>
          <w:sz w:val="32"/>
          <w:szCs w:val="32"/>
          <w:shd w:val="clear" w:color="auto" w:fill="FFFFFF"/>
          <w:lang w:val="en-US" w:eastAsia="zh-CN"/>
        </w:rPr>
        <w:t>研究</w:t>
      </w:r>
    </w:p>
    <w:p w14:paraId="1FCB7C6F">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ascii="Times New Roman" w:hAnsi="方正楷体_GBK" w:eastAsia="方正楷体_GBK"/>
          <w:color w:val="111111"/>
          <w:sz w:val="32"/>
          <w:szCs w:val="32"/>
          <w:shd w:val="clear" w:color="auto" w:fill="FFFFFF"/>
        </w:rPr>
        <w:t>（一）研究要点</w:t>
      </w:r>
    </w:p>
    <w:p w14:paraId="52E4F02F">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hint="eastAsia" w:ascii="Times New Roman" w:hAnsi="方正楷体_GBK" w:eastAsia="方正楷体_GBK"/>
          <w:color w:val="111111"/>
          <w:sz w:val="32"/>
          <w:szCs w:val="32"/>
          <w:shd w:val="clear" w:color="auto" w:fill="FFFFFF"/>
          <w:lang w:val="en-US" w:eastAsia="zh-CN"/>
        </w:rPr>
        <w:t>本课题将重点研究但不限于以下方面：</w:t>
      </w:r>
    </w:p>
    <w:p w14:paraId="1A2AEB37">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sz w:val="32"/>
          <w:szCs w:val="32"/>
        </w:rPr>
        <w:t>1、</w:t>
      </w:r>
      <w:r>
        <w:rPr>
          <w:rFonts w:hint="eastAsia" w:ascii="Times New Roman" w:hAnsi="Times New Roman" w:eastAsia="方正仿宋_GBK" w:cs="Times New Roman"/>
          <w:kern w:val="0"/>
          <w:sz w:val="32"/>
          <w:szCs w:val="32"/>
          <w:lang w:val="en-US" w:eastAsia="zh-CN" w:bidi="ar-SA"/>
        </w:rPr>
        <w:t>梳理立法基础。系统梳理国家、省层面民营经济立法核心条款及实施要求，调研国内各地民营经济专项立法实践，重点借鉴先行地区成熟经验，明确南京市民营经济地方立法的实施性、补充性定位；全面摸清南京市民营经济发展规模、产业结构、创新成效等实际情况，精准掌握民营企业在重点产业领域的发展特点；评估我市现有民营经济相关政策实施成效，总结可固化的经验成果，排查政策与上位法衔接不畅、政策碎片化等突出问题，明确立法的现实基础及政策空白</w:t>
      </w:r>
      <w:r>
        <w:rPr>
          <w:rFonts w:hint="eastAsia" w:ascii="Times New Roman" w:hAnsi="Times New Roman" w:eastAsia="方正仿宋_GBK" w:cs="Times New Roman"/>
          <w:sz w:val="32"/>
          <w:szCs w:val="32"/>
          <w:lang w:val="en-US" w:eastAsia="zh-CN"/>
        </w:rPr>
        <w:t>；</w:t>
      </w:r>
    </w:p>
    <w:p w14:paraId="7AF1D993">
      <w:pPr>
        <w:ind w:firstLine="640" w:firstLineChars="200"/>
        <w:rPr>
          <w:rFonts w:hint="eastAsia"/>
        </w:rPr>
      </w:pPr>
      <w:r>
        <w:rPr>
          <w:rFonts w:hint="eastAsia" w:ascii="Times New Roman" w:hAnsi="Times New Roman" w:eastAsia="方正仿宋_GBK" w:cs="Times New Roman"/>
          <w:kern w:val="0"/>
          <w:sz w:val="32"/>
          <w:szCs w:val="32"/>
          <w:lang w:val="en-US" w:eastAsia="zh-CN" w:bidi="ar-SA"/>
        </w:rPr>
        <w:t>2、总结核心需求。聚焦民营企业发展关键环节，精准调研民营企业在公平竞争环境、合法权益保护、要素保障供给、营商环境优化、规范健康发展等方面的核心诉求，梳理当前制约民营经济发展的堵点难点，明确立法需重点破解的问题、需强化的保障措施</w:t>
      </w:r>
      <w:r>
        <w:rPr>
          <w:rFonts w:hint="eastAsia"/>
        </w:rPr>
        <w:t>。</w:t>
      </w:r>
    </w:p>
    <w:p w14:paraId="7EF399FF">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cs="Times New Roman"/>
          <w:kern w:val="0"/>
          <w:sz w:val="32"/>
          <w:szCs w:val="32"/>
          <w:lang w:val="en-US" w:eastAsia="zh-CN" w:bidi="ar-SA"/>
        </w:rPr>
        <w:t>3、</w:t>
      </w:r>
      <w:r>
        <w:rPr>
          <w:rFonts w:hint="eastAsia" w:ascii="Times New Roman" w:hAnsi="Times New Roman" w:eastAsia="方正仿宋_GBK"/>
          <w:sz w:val="32"/>
          <w:szCs w:val="32"/>
        </w:rPr>
        <w:t>论证实施路径。充分论证南京市民营经济专项立法的必要性与紧迫性，深入分析立法对破解民营经济发展堵点、激发市场主体活力、推动民营经济高质量发展的重要意义；结合地方立法“小切口、小快灵”特点，预判立法过程中可能面临的体制机制、部门协调等难点问题，立足南京实际，研究立法核心制度设计思路，提出贴合本地发展、兼具针对性与可操作性的条款建议</w:t>
      </w:r>
      <w:r>
        <w:rPr>
          <w:rFonts w:hint="default" w:ascii="Times New Roman" w:hAnsi="Times New Roman" w:eastAsia="方正仿宋_GBK"/>
          <w:sz w:val="32"/>
          <w:szCs w:val="32"/>
          <w:lang w:val="en-US" w:eastAsia="zh-CN"/>
        </w:rPr>
        <w:t>；</w:t>
      </w:r>
    </w:p>
    <w:p w14:paraId="0131316B">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cs="Times New Roman"/>
          <w:kern w:val="0"/>
          <w:sz w:val="32"/>
          <w:szCs w:val="32"/>
          <w:lang w:val="en-US" w:eastAsia="zh-CN" w:bidi="ar-SA"/>
        </w:rPr>
        <w:t>4、</w:t>
      </w:r>
      <w:r>
        <w:rPr>
          <w:rFonts w:hint="eastAsia" w:ascii="Times New Roman" w:hAnsi="Times New Roman" w:eastAsia="方正仿宋_GBK"/>
          <w:sz w:val="32"/>
          <w:szCs w:val="32"/>
        </w:rPr>
        <w:t>研究配套保障。研究法规宣传普及的有效路径，构建全方位、多渠道、接地气的普法宣传体系；提出法规落地的执法保障举措；研究立法后评估、执法检查等监督机制，构建常态化监督评估体系</w:t>
      </w:r>
      <w:r>
        <w:rPr>
          <w:rFonts w:hint="default" w:ascii="Times New Roman" w:hAnsi="Times New Roman" w:eastAsia="方正仿宋_GBK"/>
          <w:sz w:val="32"/>
          <w:szCs w:val="32"/>
          <w:lang w:val="en-US" w:eastAsia="zh-CN"/>
        </w:rPr>
        <w:t>；</w:t>
      </w:r>
    </w:p>
    <w:p w14:paraId="678433DB">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rPr>
      </w:pP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系统总结建议。全面总结各项调研成果，精准梳理南京市民营经济立法的核心重点、关键方向，科学提出立法总体思路、框架结构及具体条款建议，为南京市民营经济专项立法提供全面、科学、可操作的支撑，助力构建适配民营经济发展的法治化环境。</w:t>
      </w:r>
    </w:p>
    <w:p w14:paraId="5E785E61">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ascii="Times New Roman" w:hAnsi="方正楷体_GBK" w:eastAsia="方正楷体_GBK"/>
          <w:color w:val="111111"/>
          <w:sz w:val="32"/>
          <w:szCs w:val="32"/>
          <w:shd w:val="clear" w:color="auto" w:fill="FFFFFF"/>
        </w:rPr>
        <w:t>（二）经费预算</w:t>
      </w:r>
    </w:p>
    <w:p w14:paraId="0E035706">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不超过</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万元。</w:t>
      </w:r>
    </w:p>
    <w:p w14:paraId="4C1B25FF">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hint="eastAsia" w:ascii="Times New Roman" w:hAnsi="方正楷体_GBK" w:eastAsia="方正楷体_GBK"/>
          <w:color w:val="111111"/>
          <w:sz w:val="32"/>
          <w:szCs w:val="32"/>
          <w:shd w:val="clear" w:color="auto" w:fill="FFFFFF"/>
        </w:rPr>
        <w:t>（三）完成时限</w:t>
      </w:r>
    </w:p>
    <w:p w14:paraId="3CBD844F">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rPr>
        <w:t>月3</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日前。</w:t>
      </w:r>
    </w:p>
    <w:p w14:paraId="7BCF7A3F">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黑体_GBK"/>
          <w:color w:val="111111"/>
          <w:sz w:val="32"/>
          <w:szCs w:val="32"/>
          <w:shd w:val="clear" w:color="auto" w:fill="FFFFFF"/>
        </w:rPr>
      </w:pPr>
      <w:r>
        <w:rPr>
          <w:rFonts w:hint="eastAsia" w:ascii="Times New Roman" w:hAnsi="Times New Roman" w:eastAsia="方正黑体_GBK"/>
          <w:color w:val="111111"/>
          <w:sz w:val="32"/>
          <w:szCs w:val="32"/>
          <w:shd w:val="clear" w:color="auto" w:fill="FFFFFF"/>
        </w:rPr>
        <w:t>五</w:t>
      </w:r>
      <w:r>
        <w:rPr>
          <w:rFonts w:ascii="Times New Roman" w:hAnsi="Times New Roman" w:eastAsia="方正黑体_GBK"/>
          <w:color w:val="111111"/>
          <w:sz w:val="32"/>
          <w:szCs w:val="32"/>
          <w:shd w:val="clear" w:color="auto" w:fill="FFFFFF"/>
        </w:rPr>
        <w:t>、</w:t>
      </w:r>
      <w:r>
        <w:rPr>
          <w:rFonts w:hint="default" w:ascii="Times New Roman" w:hAnsi="Times New Roman" w:eastAsia="方正黑体_GBK" w:cs="Times New Roman"/>
          <w:color w:val="111111"/>
          <w:sz w:val="32"/>
          <w:szCs w:val="32"/>
          <w:shd w:val="clear" w:color="auto" w:fill="FFFFFF"/>
          <w:lang w:val="en-US" w:eastAsia="zh-CN"/>
        </w:rPr>
        <w:t>南京低空基础设施</w:t>
      </w:r>
      <w:r>
        <w:rPr>
          <w:rFonts w:hint="eastAsia" w:ascii="Times New Roman" w:hAnsi="Times New Roman" w:eastAsia="方正黑体_GBK" w:cs="Times New Roman"/>
          <w:color w:val="111111"/>
          <w:sz w:val="32"/>
          <w:szCs w:val="32"/>
          <w:shd w:val="clear" w:color="auto" w:fill="FFFFFF"/>
          <w:lang w:val="en-US" w:eastAsia="zh-CN"/>
        </w:rPr>
        <w:t>及</w:t>
      </w:r>
      <w:r>
        <w:rPr>
          <w:rFonts w:hint="default" w:ascii="Times New Roman" w:hAnsi="Times New Roman" w:eastAsia="方正黑体_GBK" w:cs="Times New Roman"/>
          <w:color w:val="111111"/>
          <w:sz w:val="32"/>
          <w:szCs w:val="32"/>
          <w:shd w:val="clear" w:color="auto" w:fill="FFFFFF"/>
          <w:lang w:val="en-US" w:eastAsia="zh-CN"/>
        </w:rPr>
        <w:t>布局方案研究</w:t>
      </w:r>
    </w:p>
    <w:p w14:paraId="1D11784B">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（一）研究要点</w:t>
      </w:r>
    </w:p>
    <w:p w14:paraId="0487B4B0">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hint="eastAsia" w:ascii="Times New Roman" w:hAnsi="方正楷体_GBK" w:eastAsia="方正楷体_GBK"/>
          <w:color w:val="111111"/>
          <w:sz w:val="32"/>
          <w:szCs w:val="32"/>
          <w:shd w:val="clear" w:color="auto" w:fill="FFFFFF"/>
          <w:lang w:val="en-US" w:eastAsia="zh-CN"/>
        </w:rPr>
        <w:t>本课题将重点研究但不限于以下方面：</w:t>
      </w:r>
    </w:p>
    <w:p w14:paraId="0F648F5C">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1、研究提出低空基础设施项目规划建设全流程管理建议办法</w:t>
      </w:r>
      <w:r>
        <w:rPr>
          <w:rFonts w:hint="eastAsia" w:ascii="Times New Roman" w:hAnsi="Times New Roman" w:eastAsia="方正仿宋_GBK"/>
          <w:sz w:val="32"/>
          <w:szCs w:val="32"/>
          <w:lang w:val="en-US" w:eastAsia="zh-CN"/>
        </w:rPr>
        <w:t>；</w:t>
      </w:r>
    </w:p>
    <w:p w14:paraId="21A94572">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结合实际情况及需求，从具体架构与功能、建设运营协同、安全防护及拓展升级等方面系统研究提出低空智能网联系统建设建议方案</w:t>
      </w:r>
      <w:r>
        <w:rPr>
          <w:rFonts w:hint="eastAsia" w:ascii="Times New Roman" w:hAnsi="Times New Roman" w:eastAsia="方正仿宋_GBK"/>
          <w:sz w:val="32"/>
          <w:szCs w:val="32"/>
          <w:lang w:val="en-US" w:eastAsia="zh-CN"/>
        </w:rPr>
        <w:t>；</w:t>
      </w:r>
    </w:p>
    <w:p w14:paraId="640855E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sz w:val="32"/>
          <w:szCs w:val="32"/>
          <w:lang w:val="en-US" w:eastAsia="zh-CN"/>
        </w:rPr>
        <w:t>3、</w:t>
      </w:r>
      <w:r>
        <w:rPr>
          <w:rFonts w:hint="eastAsia" w:ascii="Times New Roman" w:hAnsi="Times New Roman" w:eastAsia="方正仿宋_GBK" w:cs="Times New Roman"/>
          <w:kern w:val="0"/>
          <w:sz w:val="32"/>
          <w:szCs w:val="32"/>
          <w:lang w:val="en-US" w:eastAsia="zh-CN" w:bidi="ar-SA"/>
        </w:rPr>
        <w:t>摸清本地区低空垂直起降设施底数及需求，提出一级、二级低空垂直起降设施布局建议，研究设计三级低空垂直起降设施选址方法与流程；</w:t>
      </w:r>
    </w:p>
    <w:p w14:paraId="16FDA95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4、科学评估全市航线、空域需求，研究形成低空公共航路建设工作思路，提出先期试点建设建议方案。</w:t>
      </w:r>
    </w:p>
    <w:p w14:paraId="67ECFB6D">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方正楷体_GBK" w:eastAsia="方正楷体_GBK"/>
          <w:color w:val="111111"/>
          <w:sz w:val="32"/>
          <w:szCs w:val="32"/>
          <w:shd w:val="clear" w:color="auto" w:fill="FFFFFF"/>
        </w:rPr>
      </w:pPr>
      <w:r>
        <w:rPr>
          <w:rFonts w:ascii="Times New Roman" w:hAnsi="方正楷体_GBK" w:eastAsia="方正楷体_GBK"/>
          <w:color w:val="111111"/>
          <w:sz w:val="32"/>
          <w:szCs w:val="32"/>
          <w:shd w:val="clear" w:color="auto" w:fill="FFFFFF"/>
        </w:rPr>
        <w:t>（二）经费预算</w:t>
      </w:r>
    </w:p>
    <w:p w14:paraId="57D0BED9">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不超过</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万元。</w:t>
      </w:r>
    </w:p>
    <w:p w14:paraId="4968FF89">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方正楷体_GBK" w:eastAsia="方正楷体_GBK"/>
          <w:color w:val="111111"/>
          <w:sz w:val="32"/>
          <w:szCs w:val="32"/>
          <w:shd w:val="clear" w:color="auto" w:fill="FFFFFF"/>
        </w:rPr>
      </w:pPr>
      <w:r>
        <w:rPr>
          <w:rFonts w:hint="eastAsia" w:ascii="Times New Roman" w:hAnsi="方正楷体_GBK" w:eastAsia="方正楷体_GBK"/>
          <w:color w:val="111111"/>
          <w:sz w:val="32"/>
          <w:szCs w:val="32"/>
          <w:shd w:val="clear" w:color="auto" w:fill="FFFFFF"/>
        </w:rPr>
        <w:t>（三）完成时限</w:t>
      </w:r>
    </w:p>
    <w:p w14:paraId="24F4F7C2">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rPr>
        <w:t>月3</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日前。</w:t>
      </w:r>
    </w:p>
    <w:p w14:paraId="5040EA49">
      <w:pPr>
        <w:pStyle w:val="4"/>
        <w:widowControl/>
        <w:spacing w:beforeAutospacing="0" w:afterAutospacing="0" w:line="600" w:lineRule="atLeast"/>
        <w:ind w:firstLine="645"/>
        <w:rPr>
          <w:rFonts w:ascii="Times New Roman" w:hAnsi="Times New Roman" w:eastAsia="方正仿宋_GBK"/>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185641"/>
      <w:docPartObj>
        <w:docPartGallery w:val="autotext"/>
      </w:docPartObj>
    </w:sdtPr>
    <w:sdtContent>
      <w:p w14:paraId="55B7C4CE">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14:paraId="580D791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251D"/>
    <w:rsid w:val="000154B9"/>
    <w:rsid w:val="0007154A"/>
    <w:rsid w:val="00084DF0"/>
    <w:rsid w:val="00090375"/>
    <w:rsid w:val="000B09E5"/>
    <w:rsid w:val="000F6762"/>
    <w:rsid w:val="001257BE"/>
    <w:rsid w:val="001622D5"/>
    <w:rsid w:val="001A72DD"/>
    <w:rsid w:val="002017F5"/>
    <w:rsid w:val="0020532A"/>
    <w:rsid w:val="002119EE"/>
    <w:rsid w:val="0026543D"/>
    <w:rsid w:val="00271B0C"/>
    <w:rsid w:val="00291DC7"/>
    <w:rsid w:val="00325141"/>
    <w:rsid w:val="00363051"/>
    <w:rsid w:val="003954B2"/>
    <w:rsid w:val="004059CD"/>
    <w:rsid w:val="0046091B"/>
    <w:rsid w:val="00477C44"/>
    <w:rsid w:val="004952DF"/>
    <w:rsid w:val="00496D99"/>
    <w:rsid w:val="004B7541"/>
    <w:rsid w:val="004F2E57"/>
    <w:rsid w:val="005308FE"/>
    <w:rsid w:val="00561A20"/>
    <w:rsid w:val="005B3566"/>
    <w:rsid w:val="005D0A62"/>
    <w:rsid w:val="00646DD2"/>
    <w:rsid w:val="006E47E5"/>
    <w:rsid w:val="00700DA7"/>
    <w:rsid w:val="00700E1F"/>
    <w:rsid w:val="00723B11"/>
    <w:rsid w:val="00725E0B"/>
    <w:rsid w:val="00734F9E"/>
    <w:rsid w:val="00774857"/>
    <w:rsid w:val="007F5F21"/>
    <w:rsid w:val="00840DE6"/>
    <w:rsid w:val="00857542"/>
    <w:rsid w:val="008F60A3"/>
    <w:rsid w:val="00906805"/>
    <w:rsid w:val="00983E4B"/>
    <w:rsid w:val="009907B1"/>
    <w:rsid w:val="009A3455"/>
    <w:rsid w:val="009D13B0"/>
    <w:rsid w:val="00A003ED"/>
    <w:rsid w:val="00A24C27"/>
    <w:rsid w:val="00A24CA4"/>
    <w:rsid w:val="00A9072D"/>
    <w:rsid w:val="00AA70E2"/>
    <w:rsid w:val="00B53156"/>
    <w:rsid w:val="00B72F31"/>
    <w:rsid w:val="00C2251D"/>
    <w:rsid w:val="00C4549C"/>
    <w:rsid w:val="00CE7D3A"/>
    <w:rsid w:val="00CF783F"/>
    <w:rsid w:val="00D008AB"/>
    <w:rsid w:val="00D151F0"/>
    <w:rsid w:val="00D41228"/>
    <w:rsid w:val="00D7301E"/>
    <w:rsid w:val="00DC3BD3"/>
    <w:rsid w:val="00E23AA6"/>
    <w:rsid w:val="00E31837"/>
    <w:rsid w:val="00E827B3"/>
    <w:rsid w:val="00E9014A"/>
    <w:rsid w:val="00EA589A"/>
    <w:rsid w:val="00EC478B"/>
    <w:rsid w:val="00EC53EF"/>
    <w:rsid w:val="00ED2720"/>
    <w:rsid w:val="00F135A9"/>
    <w:rsid w:val="00F663BD"/>
    <w:rsid w:val="00FC225C"/>
    <w:rsid w:val="03794E84"/>
    <w:rsid w:val="039B256D"/>
    <w:rsid w:val="06DF1122"/>
    <w:rsid w:val="06F802FF"/>
    <w:rsid w:val="09B026D8"/>
    <w:rsid w:val="13872AD1"/>
    <w:rsid w:val="176108A5"/>
    <w:rsid w:val="1793237E"/>
    <w:rsid w:val="1D784CFE"/>
    <w:rsid w:val="21964255"/>
    <w:rsid w:val="22810FF0"/>
    <w:rsid w:val="251E1E74"/>
    <w:rsid w:val="2540783F"/>
    <w:rsid w:val="33BC07DC"/>
    <w:rsid w:val="33F15A98"/>
    <w:rsid w:val="36062A6B"/>
    <w:rsid w:val="392F4B33"/>
    <w:rsid w:val="496F492B"/>
    <w:rsid w:val="4CDD383A"/>
    <w:rsid w:val="4F4F2935"/>
    <w:rsid w:val="50A5223E"/>
    <w:rsid w:val="53784B50"/>
    <w:rsid w:val="5D144BD0"/>
    <w:rsid w:val="65982261"/>
    <w:rsid w:val="6C265650"/>
    <w:rsid w:val="6D7F356E"/>
    <w:rsid w:val="6FC82564"/>
    <w:rsid w:val="73BD253C"/>
    <w:rsid w:val="751E0B65"/>
    <w:rsid w:val="75376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2160</Words>
  <Characters>2193</Characters>
  <Lines>20</Lines>
  <Paragraphs>5</Paragraphs>
  <TotalTime>1</TotalTime>
  <ScaleCrop>false</ScaleCrop>
  <LinksUpToDate>false</LinksUpToDate>
  <CharactersWithSpaces>2193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2020-05-06T10:54:00Z</dcterms:created>
  <dc:creator>NTKO</dc:creator>
  <cp:lastModifiedBy>周跃连</cp:lastModifiedBy>
  <cp:lastPrinted>2025-04-24T09:34:00Z</cp:lastPrinted>
  <dcterms:modified xsi:type="dcterms:W3CDTF">2026-04-14T09:45:51Z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eyJoZGlkIjoiZjQ1YTJkZDA1MWJhNjZlZTY2OTE2NWU4OTVmYzUzOWUiLCJ1c2VySWQiOiI0NDIzOTY0OTgifQ==</vt:lpwstr>
  </property>
  <property fmtid="{D5CDD505-2E9C-101B-9397-08002B2CF9AE}" pid="3" name="KSOProductBuildVer">
    <vt:lpwstr>2052-12.1.0.25225</vt:lpwstr>
  </property>
  <property fmtid="{D5CDD505-2E9C-101B-9397-08002B2CF9AE}" pid="4" name="ICV">
    <vt:lpwstr>6235884379EC45F184C159359835DD9E_12</vt:lpwstr>
  </property>
</Properties>
</file>