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9DF" w:rsidRDefault="001A79DF">
      <w:pPr>
        <w:spacing w:line="560" w:lineRule="exact"/>
        <w:ind w:firstLineChars="0" w:firstLine="0"/>
        <w:jc w:val="center"/>
        <w:rPr>
          <w:rFonts w:ascii="Times New Roman" w:eastAsia="方正小标宋_GBK" w:hAnsi="Times New Roman" w:cs="方正小标宋_GBK"/>
          <w:sz w:val="44"/>
          <w:szCs w:val="44"/>
        </w:rPr>
      </w:pPr>
    </w:p>
    <w:p w:rsidR="001A79DF" w:rsidRDefault="001A79DF">
      <w:pPr>
        <w:spacing w:line="560" w:lineRule="exact"/>
        <w:ind w:firstLineChars="0" w:firstLine="0"/>
        <w:jc w:val="center"/>
        <w:rPr>
          <w:rFonts w:ascii="Times New Roman" w:eastAsia="方正小标宋_GBK" w:hAnsi="Times New Roman" w:cs="方正小标宋_GBK"/>
          <w:sz w:val="44"/>
          <w:szCs w:val="44"/>
        </w:rPr>
      </w:pPr>
    </w:p>
    <w:p w:rsidR="001A79DF" w:rsidRDefault="001A79DF">
      <w:pPr>
        <w:spacing w:line="560" w:lineRule="exact"/>
        <w:ind w:firstLineChars="0" w:firstLine="0"/>
        <w:jc w:val="center"/>
        <w:rPr>
          <w:rFonts w:ascii="Times New Roman" w:eastAsia="方正小标宋_GBK" w:hAnsi="Times New Roman" w:cs="方正小标宋_GBK"/>
          <w:sz w:val="44"/>
          <w:szCs w:val="44"/>
        </w:rPr>
      </w:pPr>
    </w:p>
    <w:p w:rsidR="001A79DF" w:rsidRDefault="00E70674">
      <w:pPr>
        <w:spacing w:line="560" w:lineRule="exact"/>
        <w:ind w:firstLineChars="0" w:firstLine="0"/>
        <w:jc w:val="center"/>
        <w:rPr>
          <w:rFonts w:ascii="Times New Roman" w:eastAsia="方正小标宋_GBK" w:hAnsi="Times New Roman" w:cs="方正小标宋_GBK"/>
          <w:sz w:val="44"/>
          <w:szCs w:val="44"/>
        </w:rPr>
      </w:pPr>
      <w:r>
        <w:rPr>
          <w:rFonts w:ascii="Times New Roman" w:eastAsia="方正小标宋_GBK" w:hAnsi="Times New Roman" w:cs="方正小标宋_GBK" w:hint="eastAsia"/>
          <w:sz w:val="44"/>
          <w:szCs w:val="44"/>
        </w:rPr>
        <w:t>南京市发展和改革委员会</w:t>
      </w:r>
      <w:r w:rsidR="001F065D">
        <w:rPr>
          <w:rFonts w:ascii="Times New Roman" w:eastAsia="方正小标宋_GBK" w:hAnsi="Times New Roman" w:cs="方正小标宋_GBK" w:hint="eastAsia"/>
          <w:sz w:val="44"/>
          <w:szCs w:val="44"/>
        </w:rPr>
        <w:t>202</w:t>
      </w:r>
      <w:r w:rsidR="001F065D">
        <w:rPr>
          <w:rFonts w:ascii="Times New Roman" w:eastAsia="方正小标宋_GBK" w:hAnsi="Times New Roman" w:cs="方正小标宋_GBK"/>
          <w:sz w:val="44"/>
          <w:szCs w:val="44"/>
        </w:rPr>
        <w:t>5</w:t>
      </w:r>
      <w:r w:rsidR="001F065D">
        <w:rPr>
          <w:rFonts w:ascii="Times New Roman" w:eastAsia="方正小标宋_GBK" w:hAnsi="Times New Roman" w:cs="方正小标宋_GBK" w:hint="eastAsia"/>
          <w:sz w:val="44"/>
          <w:szCs w:val="44"/>
        </w:rPr>
        <w:t>年度</w:t>
      </w:r>
    </w:p>
    <w:p w:rsidR="001A79DF" w:rsidRDefault="00E70674">
      <w:pPr>
        <w:spacing w:line="560" w:lineRule="exact"/>
        <w:ind w:firstLineChars="0" w:firstLine="0"/>
        <w:jc w:val="center"/>
        <w:rPr>
          <w:rFonts w:ascii="Times New Roman" w:eastAsia="方正小标宋_GBK" w:hAnsi="Times New Roman" w:cs="方正小标宋_GBK"/>
          <w:sz w:val="44"/>
          <w:szCs w:val="44"/>
        </w:rPr>
      </w:pPr>
      <w:r>
        <w:rPr>
          <w:rFonts w:ascii="Times New Roman" w:eastAsia="方正小标宋_GBK" w:hAnsi="Times New Roman" w:cs="方正小标宋_GBK" w:hint="eastAsia"/>
          <w:sz w:val="44"/>
          <w:szCs w:val="44"/>
        </w:rPr>
        <w:t>部门整体</w:t>
      </w:r>
      <w:r w:rsidR="00700976">
        <w:rPr>
          <w:rFonts w:ascii="Times New Roman" w:eastAsia="方正小标宋_GBK" w:hAnsi="Times New Roman" w:cs="方正小标宋_GBK" w:hint="eastAsia"/>
          <w:sz w:val="44"/>
          <w:szCs w:val="44"/>
        </w:rPr>
        <w:t>支出</w:t>
      </w:r>
      <w:r>
        <w:rPr>
          <w:rFonts w:ascii="Times New Roman" w:eastAsia="方正小标宋_GBK" w:hAnsi="Times New Roman" w:cs="方正小标宋_GBK" w:hint="eastAsia"/>
          <w:sz w:val="44"/>
          <w:szCs w:val="44"/>
        </w:rPr>
        <w:t>绩效自评价报告</w:t>
      </w:r>
    </w:p>
    <w:p w:rsidR="001A79DF" w:rsidRDefault="001A79DF">
      <w:pPr>
        <w:spacing w:line="560" w:lineRule="exact"/>
        <w:ind w:firstLineChars="0" w:firstLine="0"/>
        <w:jc w:val="center"/>
        <w:rPr>
          <w:rFonts w:ascii="Times New Roman" w:eastAsia="方正楷体_GBK" w:hAnsi="Times New Roman" w:cs="Times New Roman"/>
          <w:bCs/>
          <w:spacing w:val="4"/>
          <w:sz w:val="44"/>
          <w:szCs w:val="44"/>
        </w:rPr>
      </w:pPr>
    </w:p>
    <w:p w:rsidR="001A79DF" w:rsidRDefault="001A79DF">
      <w:pPr>
        <w:spacing w:line="560" w:lineRule="exact"/>
        <w:ind w:firstLineChars="0" w:firstLine="0"/>
        <w:jc w:val="center"/>
        <w:rPr>
          <w:rFonts w:ascii="Times New Roman" w:eastAsia="方正楷体_GBK" w:hAnsi="Times New Roman" w:cs="Times New Roman"/>
          <w:bCs/>
          <w:spacing w:val="4"/>
          <w:sz w:val="44"/>
          <w:szCs w:val="44"/>
        </w:rPr>
      </w:pPr>
    </w:p>
    <w:p w:rsidR="001A79DF" w:rsidRDefault="001A79DF">
      <w:pPr>
        <w:spacing w:line="560" w:lineRule="exact"/>
        <w:ind w:firstLineChars="0" w:firstLine="0"/>
        <w:jc w:val="center"/>
        <w:rPr>
          <w:rFonts w:ascii="Times New Roman" w:eastAsia="方正楷体_GBK" w:hAnsi="Times New Roman" w:cs="Times New Roman"/>
          <w:bCs/>
          <w:spacing w:val="4"/>
          <w:sz w:val="44"/>
          <w:szCs w:val="44"/>
        </w:rPr>
      </w:pPr>
    </w:p>
    <w:p w:rsidR="001A79DF" w:rsidRDefault="001A79DF">
      <w:pPr>
        <w:spacing w:line="560" w:lineRule="exact"/>
        <w:ind w:firstLineChars="0" w:firstLine="0"/>
        <w:jc w:val="center"/>
        <w:rPr>
          <w:rFonts w:ascii="Times New Roman" w:eastAsia="方正楷体_GBK" w:hAnsi="Times New Roman" w:cs="Times New Roman"/>
          <w:bCs/>
          <w:spacing w:val="4"/>
          <w:sz w:val="44"/>
          <w:szCs w:val="44"/>
        </w:rPr>
      </w:pPr>
    </w:p>
    <w:p w:rsidR="001A79DF" w:rsidRDefault="001A79DF">
      <w:pPr>
        <w:spacing w:line="560" w:lineRule="exact"/>
        <w:ind w:firstLineChars="0" w:firstLine="0"/>
        <w:jc w:val="center"/>
        <w:rPr>
          <w:rFonts w:ascii="Times New Roman" w:eastAsia="方正楷体_GBK" w:hAnsi="Times New Roman" w:cs="Times New Roman"/>
          <w:bCs/>
          <w:spacing w:val="4"/>
          <w:sz w:val="44"/>
          <w:szCs w:val="44"/>
        </w:rPr>
      </w:pPr>
    </w:p>
    <w:p w:rsidR="001A79DF" w:rsidRDefault="001A79DF">
      <w:pPr>
        <w:spacing w:line="560" w:lineRule="exact"/>
        <w:ind w:firstLineChars="0" w:firstLine="0"/>
        <w:jc w:val="center"/>
        <w:rPr>
          <w:rFonts w:ascii="Times New Roman" w:eastAsia="方正楷体_GBK" w:hAnsi="Times New Roman" w:cs="Times New Roman"/>
          <w:bCs/>
          <w:spacing w:val="4"/>
          <w:sz w:val="44"/>
          <w:szCs w:val="44"/>
        </w:rPr>
      </w:pPr>
    </w:p>
    <w:p w:rsidR="001A79DF" w:rsidRDefault="001A79DF">
      <w:pPr>
        <w:spacing w:line="560" w:lineRule="exact"/>
        <w:ind w:firstLineChars="0" w:firstLine="0"/>
        <w:jc w:val="center"/>
        <w:rPr>
          <w:rFonts w:ascii="Times New Roman" w:eastAsia="方正楷体_GBK" w:hAnsi="Times New Roman" w:cs="Times New Roman"/>
          <w:bCs/>
          <w:spacing w:val="4"/>
          <w:sz w:val="44"/>
          <w:szCs w:val="44"/>
        </w:rPr>
      </w:pPr>
    </w:p>
    <w:p w:rsidR="001A79DF" w:rsidRDefault="001A79DF">
      <w:pPr>
        <w:spacing w:line="560" w:lineRule="exact"/>
        <w:ind w:firstLineChars="0" w:firstLine="0"/>
        <w:jc w:val="center"/>
        <w:rPr>
          <w:rFonts w:ascii="Times New Roman" w:eastAsia="方正楷体_GBK" w:hAnsi="Times New Roman" w:cs="Times New Roman"/>
          <w:bCs/>
          <w:spacing w:val="4"/>
          <w:sz w:val="44"/>
          <w:szCs w:val="44"/>
        </w:rPr>
      </w:pPr>
    </w:p>
    <w:p w:rsidR="001A79DF" w:rsidRDefault="001A79DF">
      <w:pPr>
        <w:spacing w:line="560" w:lineRule="exact"/>
        <w:ind w:firstLineChars="0" w:firstLine="0"/>
        <w:jc w:val="center"/>
        <w:rPr>
          <w:rFonts w:ascii="Times New Roman" w:eastAsia="方正楷体_GBK" w:hAnsi="Times New Roman" w:cs="Times New Roman"/>
          <w:bCs/>
          <w:spacing w:val="4"/>
          <w:sz w:val="44"/>
          <w:szCs w:val="44"/>
        </w:rPr>
      </w:pPr>
    </w:p>
    <w:p w:rsidR="001A79DF" w:rsidRDefault="001A79DF">
      <w:pPr>
        <w:spacing w:line="560" w:lineRule="exact"/>
        <w:ind w:firstLineChars="0" w:firstLine="0"/>
        <w:jc w:val="center"/>
        <w:rPr>
          <w:rFonts w:ascii="Times New Roman" w:eastAsia="方正楷体_GBK" w:hAnsi="Times New Roman" w:cs="Times New Roman"/>
          <w:bCs/>
          <w:spacing w:val="4"/>
          <w:sz w:val="44"/>
          <w:szCs w:val="44"/>
        </w:rPr>
      </w:pPr>
    </w:p>
    <w:p w:rsidR="001A79DF" w:rsidRDefault="001A79DF">
      <w:pPr>
        <w:spacing w:line="560" w:lineRule="exact"/>
        <w:ind w:firstLineChars="0" w:firstLine="0"/>
        <w:jc w:val="center"/>
        <w:rPr>
          <w:rFonts w:ascii="Times New Roman" w:eastAsia="方正楷体_GBK" w:hAnsi="Times New Roman" w:cs="Times New Roman"/>
          <w:bCs/>
          <w:spacing w:val="4"/>
          <w:sz w:val="44"/>
          <w:szCs w:val="44"/>
        </w:rPr>
      </w:pPr>
    </w:p>
    <w:p w:rsidR="001A79DF" w:rsidRDefault="001A79DF">
      <w:pPr>
        <w:spacing w:line="560" w:lineRule="exact"/>
        <w:ind w:firstLineChars="0" w:firstLine="0"/>
        <w:jc w:val="center"/>
        <w:rPr>
          <w:rFonts w:ascii="Times New Roman" w:eastAsia="方正楷体_GBK" w:hAnsi="Times New Roman" w:cs="Times New Roman"/>
          <w:bCs/>
          <w:spacing w:val="4"/>
          <w:sz w:val="44"/>
          <w:szCs w:val="44"/>
        </w:rPr>
      </w:pPr>
    </w:p>
    <w:p w:rsidR="001A79DF" w:rsidRDefault="00E70674">
      <w:pPr>
        <w:spacing w:line="560" w:lineRule="exact"/>
        <w:ind w:firstLineChars="0" w:firstLine="0"/>
        <w:jc w:val="center"/>
        <w:rPr>
          <w:rFonts w:ascii="Times New Roman" w:eastAsia="方正楷体_GBK" w:hAnsi="Times New Roman" w:cs="Times New Roman"/>
          <w:bCs/>
          <w:spacing w:val="4"/>
          <w:sz w:val="44"/>
          <w:szCs w:val="44"/>
        </w:rPr>
      </w:pPr>
      <w:r>
        <w:rPr>
          <w:rFonts w:ascii="Times New Roman" w:eastAsia="方正楷体_GBK" w:hAnsi="Times New Roman" w:cs="Times New Roman"/>
          <w:bCs/>
          <w:spacing w:val="4"/>
          <w:sz w:val="44"/>
          <w:szCs w:val="44"/>
        </w:rPr>
        <w:t>2026</w:t>
      </w:r>
      <w:r>
        <w:rPr>
          <w:rFonts w:ascii="Times New Roman" w:eastAsia="方正楷体_GBK" w:hAnsi="Times New Roman" w:cs="Times New Roman"/>
          <w:bCs/>
          <w:spacing w:val="4"/>
          <w:sz w:val="44"/>
          <w:szCs w:val="44"/>
        </w:rPr>
        <w:t>年</w:t>
      </w:r>
      <w:r>
        <w:rPr>
          <w:rFonts w:ascii="Times New Roman" w:eastAsia="方正楷体_GBK" w:hAnsi="Times New Roman" w:cs="Times New Roman"/>
          <w:bCs/>
          <w:spacing w:val="4"/>
          <w:sz w:val="44"/>
          <w:szCs w:val="44"/>
        </w:rPr>
        <w:t>6</w:t>
      </w:r>
      <w:r>
        <w:rPr>
          <w:rFonts w:ascii="Times New Roman" w:eastAsia="方正楷体_GBK" w:hAnsi="Times New Roman" w:cs="Times New Roman"/>
          <w:bCs/>
          <w:spacing w:val="4"/>
          <w:sz w:val="44"/>
          <w:szCs w:val="44"/>
        </w:rPr>
        <w:t>月</w:t>
      </w:r>
    </w:p>
    <w:p w:rsidR="001A79DF" w:rsidRDefault="001A79DF">
      <w:pPr>
        <w:pStyle w:val="a9"/>
        <w:spacing w:line="560" w:lineRule="exact"/>
        <w:ind w:leftChars="0" w:left="0" w:firstLineChars="0" w:firstLine="0"/>
        <w:sectPr w:rsidR="001A79DF">
          <w:pgSz w:w="11906" w:h="16838"/>
          <w:pgMar w:top="1440" w:right="1800" w:bottom="1440" w:left="1800" w:header="851" w:footer="992" w:gutter="0"/>
          <w:cols w:space="425"/>
          <w:docGrid w:type="lines" w:linePitch="312"/>
        </w:sectPr>
      </w:pPr>
    </w:p>
    <w:sdt>
      <w:sdtPr>
        <w:rPr>
          <w:rFonts w:ascii="Times New Roman" w:eastAsia="宋体" w:hAnsi="Times New Roman"/>
          <w:sz w:val="21"/>
        </w:rPr>
        <w:id w:val="147462294"/>
        <w:docPartObj>
          <w:docPartGallery w:val="Table of Contents"/>
          <w:docPartUnique/>
        </w:docPartObj>
      </w:sdtPr>
      <w:sdtEndPr/>
      <w:sdtContent>
        <w:p w:rsidR="001A79DF" w:rsidRDefault="00E70674">
          <w:pPr>
            <w:spacing w:line="240" w:lineRule="auto"/>
            <w:ind w:firstLineChars="0" w:firstLine="0"/>
            <w:jc w:val="center"/>
            <w:rPr>
              <w:rFonts w:ascii="Times New Roman" w:eastAsia="方正黑体_GBK" w:hAnsi="Times New Roman" w:cs="方正黑体_GBK"/>
              <w:sz w:val="48"/>
              <w:szCs w:val="40"/>
            </w:rPr>
          </w:pPr>
          <w:r>
            <w:rPr>
              <w:rFonts w:ascii="Times New Roman" w:eastAsia="方正黑体_GBK" w:hAnsi="Times New Roman" w:cs="方正黑体_GBK" w:hint="eastAsia"/>
              <w:sz w:val="36"/>
              <w:szCs w:val="40"/>
            </w:rPr>
            <w:t>目录</w:t>
          </w:r>
        </w:p>
        <w:p w:rsidR="001A79DF" w:rsidRDefault="00E70674">
          <w:pPr>
            <w:pStyle w:val="10"/>
            <w:tabs>
              <w:tab w:val="right" w:leader="dot" w:pos="8306"/>
            </w:tabs>
            <w:spacing w:line="560" w:lineRule="exact"/>
            <w:ind w:firstLineChars="0" w:firstLine="0"/>
            <w:rPr>
              <w:rFonts w:ascii="Times New Roman" w:hAnsi="Times New Roman"/>
            </w:rPr>
          </w:pPr>
          <w:r>
            <w:rPr>
              <w:rFonts w:ascii="Times New Roman" w:hAnsi="Times New Roman"/>
            </w:rPr>
            <w:fldChar w:fldCharType="begin"/>
          </w:r>
          <w:r>
            <w:rPr>
              <w:rFonts w:ascii="Times New Roman" w:hAnsi="Times New Roman"/>
            </w:rPr>
            <w:instrText xml:space="preserve">TOC \o "1-2" \h \u </w:instrText>
          </w:r>
          <w:r>
            <w:rPr>
              <w:rFonts w:ascii="Times New Roman" w:hAnsi="Times New Roman"/>
            </w:rPr>
            <w:fldChar w:fldCharType="separate"/>
          </w:r>
          <w:hyperlink w:anchor="_Toc8426" w:history="1">
            <w:r>
              <w:rPr>
                <w:rFonts w:ascii="Times New Roman" w:eastAsia="方正黑体_GBK" w:hAnsi="Times New Roman" w:cs="方正黑体_GBK" w:hint="eastAsia"/>
                <w:szCs w:val="32"/>
              </w:rPr>
              <w:t>一、部门概况</w:t>
            </w:r>
            <w:r>
              <w:rPr>
                <w:rFonts w:ascii="Times New Roman" w:hAnsi="Times New Roman"/>
              </w:rPr>
              <w:tab/>
            </w:r>
            <w:r>
              <w:rPr>
                <w:rFonts w:ascii="Times New Roman" w:hAnsi="Times New Roman" w:hint="eastAsia"/>
              </w:rPr>
              <w:t>1</w:t>
            </w:r>
          </w:hyperlink>
        </w:p>
        <w:p w:rsidR="001A79DF" w:rsidRDefault="00C86C30">
          <w:pPr>
            <w:pStyle w:val="20"/>
            <w:tabs>
              <w:tab w:val="right" w:leader="dot" w:pos="8306"/>
            </w:tabs>
            <w:spacing w:line="560" w:lineRule="exact"/>
            <w:ind w:leftChars="0" w:left="0" w:firstLine="600"/>
            <w:rPr>
              <w:rFonts w:ascii="Times New Roman" w:hAnsi="Times New Roman"/>
            </w:rPr>
          </w:pPr>
          <w:hyperlink w:anchor="_Toc776" w:history="1">
            <w:r w:rsidR="00E70674">
              <w:rPr>
                <w:rFonts w:ascii="Times New Roman" w:eastAsia="方正楷体_GBK" w:hAnsi="Times New Roman" w:cs="方正楷体_GBK" w:hint="eastAsia"/>
                <w:szCs w:val="32"/>
              </w:rPr>
              <w:t>（一）部门基本情况</w:t>
            </w:r>
            <w:r w:rsidR="00E70674">
              <w:rPr>
                <w:rFonts w:ascii="Times New Roman" w:hAnsi="Times New Roman"/>
              </w:rPr>
              <w:tab/>
            </w:r>
            <w:r w:rsidR="00E70674">
              <w:rPr>
                <w:rFonts w:ascii="Times New Roman" w:hAnsi="Times New Roman" w:hint="eastAsia"/>
              </w:rPr>
              <w:t>1</w:t>
            </w:r>
          </w:hyperlink>
        </w:p>
        <w:p w:rsidR="001A79DF" w:rsidRDefault="00C86C30">
          <w:pPr>
            <w:pStyle w:val="20"/>
            <w:tabs>
              <w:tab w:val="right" w:leader="dot" w:pos="8306"/>
            </w:tabs>
            <w:spacing w:line="560" w:lineRule="exact"/>
            <w:ind w:leftChars="0" w:left="0" w:firstLine="600"/>
            <w:rPr>
              <w:rFonts w:ascii="Times New Roman" w:hAnsi="Times New Roman"/>
            </w:rPr>
          </w:pPr>
          <w:hyperlink w:anchor="_Toc10384" w:history="1">
            <w:r w:rsidR="00E70674">
              <w:rPr>
                <w:rFonts w:ascii="Times New Roman" w:eastAsia="方正楷体_GBK" w:hAnsi="Times New Roman" w:cs="方正楷体_GBK"/>
                <w:szCs w:val="32"/>
              </w:rPr>
              <w:t>（二）部门收支情况</w:t>
            </w:r>
            <w:r w:rsidR="00E70674">
              <w:rPr>
                <w:rFonts w:ascii="Times New Roman" w:hAnsi="Times New Roman"/>
              </w:rPr>
              <w:tab/>
            </w:r>
            <w:r w:rsidR="00E70674">
              <w:rPr>
                <w:rFonts w:ascii="Times New Roman" w:hAnsi="Times New Roman" w:hint="eastAsia"/>
              </w:rPr>
              <w:t>4</w:t>
            </w:r>
          </w:hyperlink>
        </w:p>
        <w:p w:rsidR="001A79DF" w:rsidRDefault="00C86C30">
          <w:pPr>
            <w:pStyle w:val="20"/>
            <w:tabs>
              <w:tab w:val="right" w:leader="dot" w:pos="8306"/>
            </w:tabs>
            <w:spacing w:line="560" w:lineRule="exact"/>
            <w:ind w:leftChars="0" w:left="0" w:firstLine="600"/>
            <w:rPr>
              <w:rFonts w:ascii="Times New Roman" w:hAnsi="Times New Roman"/>
            </w:rPr>
          </w:pPr>
          <w:hyperlink w:anchor="_Toc28348" w:history="1">
            <w:r w:rsidR="00E70674">
              <w:rPr>
                <w:rFonts w:ascii="Times New Roman" w:eastAsia="方正楷体_GBK" w:hAnsi="Times New Roman" w:cs="方正楷体_GBK" w:hint="eastAsia"/>
                <w:szCs w:val="32"/>
              </w:rPr>
              <w:t>（三）部门绩效目标</w:t>
            </w:r>
            <w:r w:rsidR="00E70674">
              <w:rPr>
                <w:rFonts w:ascii="Times New Roman" w:hAnsi="Times New Roman"/>
              </w:rPr>
              <w:tab/>
            </w:r>
            <w:r w:rsidR="00E70674">
              <w:rPr>
                <w:rFonts w:ascii="Times New Roman" w:hAnsi="Times New Roman" w:hint="eastAsia"/>
              </w:rPr>
              <w:t>7</w:t>
            </w:r>
          </w:hyperlink>
        </w:p>
        <w:p w:rsidR="001A79DF" w:rsidRDefault="00C86C30">
          <w:pPr>
            <w:pStyle w:val="10"/>
            <w:tabs>
              <w:tab w:val="right" w:leader="dot" w:pos="8306"/>
            </w:tabs>
            <w:spacing w:line="560" w:lineRule="exact"/>
            <w:ind w:firstLineChars="0" w:firstLine="0"/>
            <w:rPr>
              <w:rFonts w:ascii="Times New Roman" w:hAnsi="Times New Roman"/>
            </w:rPr>
          </w:pPr>
          <w:hyperlink w:anchor="_Toc26779" w:history="1">
            <w:r w:rsidR="00E70674">
              <w:rPr>
                <w:rFonts w:ascii="Times New Roman" w:eastAsia="方正黑体_GBK" w:hAnsi="Times New Roman" w:cs="方正黑体_GBK"/>
                <w:szCs w:val="32"/>
              </w:rPr>
              <w:t>二、评价结论</w:t>
            </w:r>
            <w:r w:rsidR="00E70674">
              <w:rPr>
                <w:rFonts w:ascii="Times New Roman" w:hAnsi="Times New Roman"/>
              </w:rPr>
              <w:tab/>
              <w:t>9</w:t>
            </w:r>
          </w:hyperlink>
        </w:p>
        <w:p w:rsidR="001A79DF" w:rsidRDefault="00C86C30">
          <w:pPr>
            <w:pStyle w:val="10"/>
            <w:tabs>
              <w:tab w:val="right" w:leader="dot" w:pos="8306"/>
            </w:tabs>
            <w:spacing w:line="560" w:lineRule="exact"/>
            <w:ind w:firstLineChars="0" w:firstLine="0"/>
            <w:rPr>
              <w:rFonts w:ascii="Times New Roman" w:hAnsi="Times New Roman"/>
            </w:rPr>
          </w:pPr>
          <w:hyperlink w:anchor="_Toc966" w:history="1">
            <w:r w:rsidR="00E70674">
              <w:rPr>
                <w:rFonts w:ascii="Times New Roman" w:eastAsia="方正黑体_GBK" w:hAnsi="Times New Roman" w:cs="方正黑体_GBK"/>
                <w:szCs w:val="32"/>
              </w:rPr>
              <w:t>三、部门履职成效</w:t>
            </w:r>
            <w:r w:rsidR="00E70674">
              <w:rPr>
                <w:rFonts w:ascii="Times New Roman" w:hAnsi="Times New Roman"/>
              </w:rPr>
              <w:tab/>
            </w:r>
            <w:r w:rsidR="00E70674">
              <w:rPr>
                <w:rFonts w:ascii="Times New Roman" w:hAnsi="Times New Roman" w:hint="eastAsia"/>
              </w:rPr>
              <w:t>1</w:t>
            </w:r>
          </w:hyperlink>
          <w:r w:rsidR="00E70674">
            <w:rPr>
              <w:rFonts w:ascii="Times New Roman" w:hAnsi="Times New Roman" w:hint="eastAsia"/>
            </w:rPr>
            <w:t>0</w:t>
          </w:r>
        </w:p>
        <w:p w:rsidR="001A79DF" w:rsidRDefault="00C86C30">
          <w:pPr>
            <w:pStyle w:val="20"/>
            <w:tabs>
              <w:tab w:val="right" w:leader="dot" w:pos="8306"/>
            </w:tabs>
            <w:spacing w:line="560" w:lineRule="exact"/>
            <w:ind w:leftChars="0" w:left="0" w:firstLine="600"/>
            <w:rPr>
              <w:rFonts w:ascii="Times New Roman" w:hAnsi="Times New Roman"/>
              <w:color w:val="000000" w:themeColor="text1"/>
              <w:szCs w:val="30"/>
            </w:rPr>
          </w:pPr>
          <w:hyperlink w:anchor="_Toc3615" w:history="1">
            <w:r w:rsidR="00E70674">
              <w:rPr>
                <w:rFonts w:ascii="Times New Roman" w:eastAsia="方正楷体_GBK" w:hAnsi="Times New Roman" w:cs="方正楷体_GBK" w:hint="eastAsia"/>
                <w:color w:val="000000" w:themeColor="text1"/>
                <w:szCs w:val="30"/>
              </w:rPr>
              <w:t>（一）</w:t>
            </w:r>
            <w:r w:rsidR="00E70674">
              <w:rPr>
                <w:rFonts w:ascii="Times New Roman" w:eastAsia="方正楷体_GBK" w:hAnsi="Times New Roman" w:cs="Times New Roman" w:hint="eastAsia"/>
                <w:color w:val="000000" w:themeColor="text1"/>
                <w:szCs w:val="30"/>
              </w:rPr>
              <w:t>促进</w:t>
            </w:r>
            <w:r w:rsidR="00E70674">
              <w:rPr>
                <w:rFonts w:ascii="Times New Roman" w:eastAsia="方正楷体_GBK" w:hAnsi="Times New Roman" w:cs="Times New Roman"/>
                <w:color w:val="000000" w:themeColor="text1"/>
                <w:szCs w:val="30"/>
              </w:rPr>
              <w:t>经济运行稳中有进</w:t>
            </w:r>
            <w:r w:rsidR="00E70674">
              <w:rPr>
                <w:rFonts w:ascii="Times New Roman" w:hAnsi="Times New Roman"/>
                <w:color w:val="000000" w:themeColor="text1"/>
                <w:szCs w:val="30"/>
              </w:rPr>
              <w:tab/>
            </w:r>
            <w:r w:rsidR="00E70674">
              <w:rPr>
                <w:rFonts w:ascii="Times New Roman" w:hAnsi="Times New Roman" w:hint="eastAsia"/>
                <w:color w:val="000000" w:themeColor="text1"/>
                <w:szCs w:val="30"/>
              </w:rPr>
              <w:t>1</w:t>
            </w:r>
          </w:hyperlink>
          <w:r w:rsidR="00E70674">
            <w:rPr>
              <w:rFonts w:ascii="Times New Roman" w:hAnsi="Times New Roman" w:hint="eastAsia"/>
              <w:color w:val="000000" w:themeColor="text1"/>
              <w:szCs w:val="30"/>
            </w:rPr>
            <w:t>0</w:t>
          </w:r>
        </w:p>
        <w:p w:rsidR="001A79DF" w:rsidRDefault="00C86C30">
          <w:pPr>
            <w:pStyle w:val="20"/>
            <w:tabs>
              <w:tab w:val="right" w:leader="dot" w:pos="8306"/>
            </w:tabs>
            <w:spacing w:line="560" w:lineRule="exact"/>
            <w:ind w:leftChars="0" w:left="0" w:firstLine="600"/>
            <w:rPr>
              <w:rFonts w:ascii="Times New Roman" w:hAnsi="Times New Roman"/>
              <w:color w:val="000000" w:themeColor="text1"/>
              <w:szCs w:val="30"/>
            </w:rPr>
          </w:pPr>
          <w:hyperlink w:anchor="_Toc14586" w:history="1">
            <w:r w:rsidR="00E70674">
              <w:rPr>
                <w:rFonts w:ascii="Times New Roman" w:eastAsia="方正楷体_GBK" w:hAnsi="Times New Roman" w:cs="方正楷体_GBK" w:hint="eastAsia"/>
                <w:color w:val="000000" w:themeColor="text1"/>
                <w:szCs w:val="30"/>
              </w:rPr>
              <w:t>（二）</w:t>
            </w:r>
            <w:r w:rsidR="00E70674">
              <w:rPr>
                <w:rFonts w:ascii="Times New Roman" w:eastAsia="方正楷体_GBK" w:hAnsi="Times New Roman" w:cs="Times New Roman" w:hint="eastAsia"/>
                <w:color w:val="000000" w:themeColor="text1"/>
                <w:szCs w:val="30"/>
              </w:rPr>
              <w:t>推动</w:t>
            </w:r>
            <w:r w:rsidR="00E70674">
              <w:rPr>
                <w:rFonts w:ascii="Times New Roman" w:eastAsia="方正楷体_GBK" w:hAnsi="Times New Roman" w:cs="Times New Roman"/>
                <w:color w:val="000000" w:themeColor="text1"/>
                <w:szCs w:val="30"/>
              </w:rPr>
              <w:t>项目投资提质增效</w:t>
            </w:r>
            <w:r w:rsidR="00E70674">
              <w:rPr>
                <w:rFonts w:ascii="Times New Roman" w:hAnsi="Times New Roman"/>
                <w:color w:val="000000" w:themeColor="text1"/>
                <w:szCs w:val="30"/>
              </w:rPr>
              <w:tab/>
              <w:t>1</w:t>
            </w:r>
          </w:hyperlink>
          <w:r w:rsidR="00E70674">
            <w:rPr>
              <w:rFonts w:ascii="Times New Roman" w:hAnsi="Times New Roman"/>
              <w:color w:val="000000" w:themeColor="text1"/>
              <w:szCs w:val="30"/>
            </w:rPr>
            <w:t>0</w:t>
          </w:r>
        </w:p>
        <w:p w:rsidR="001A79DF" w:rsidRDefault="00C86C30">
          <w:pPr>
            <w:pStyle w:val="20"/>
            <w:tabs>
              <w:tab w:val="right" w:leader="dot" w:pos="8306"/>
            </w:tabs>
            <w:spacing w:line="560" w:lineRule="exact"/>
            <w:ind w:leftChars="0" w:left="0" w:firstLine="600"/>
            <w:rPr>
              <w:rFonts w:ascii="Times New Roman" w:hAnsi="Times New Roman"/>
              <w:color w:val="000000" w:themeColor="text1"/>
              <w:szCs w:val="30"/>
            </w:rPr>
          </w:pPr>
          <w:hyperlink w:anchor="_Toc614" w:history="1">
            <w:r w:rsidR="00E70674">
              <w:rPr>
                <w:rFonts w:ascii="Times New Roman" w:eastAsia="方正楷体_GBK" w:hAnsi="Times New Roman" w:cs="方正楷体_GBK" w:hint="eastAsia"/>
                <w:color w:val="000000" w:themeColor="text1"/>
                <w:szCs w:val="30"/>
              </w:rPr>
              <w:t>（三）</w:t>
            </w:r>
            <w:r w:rsidR="00E70674">
              <w:rPr>
                <w:rFonts w:ascii="Times New Roman" w:eastAsia="方正楷体_GBK" w:hAnsi="Times New Roman" w:cs="Times New Roman" w:hint="eastAsia"/>
                <w:color w:val="000000" w:themeColor="text1"/>
                <w:szCs w:val="30"/>
              </w:rPr>
              <w:t>驱动</w:t>
            </w:r>
            <w:r w:rsidR="00E70674">
              <w:rPr>
                <w:rFonts w:ascii="Times New Roman" w:eastAsia="方正楷体_GBK" w:hAnsi="Times New Roman" w:cs="Times New Roman"/>
                <w:color w:val="000000" w:themeColor="text1"/>
                <w:szCs w:val="30"/>
              </w:rPr>
              <w:t>产业转型纵深推进</w:t>
            </w:r>
            <w:r w:rsidR="00E70674">
              <w:rPr>
                <w:rFonts w:ascii="Times New Roman" w:hAnsi="Times New Roman"/>
                <w:color w:val="000000" w:themeColor="text1"/>
                <w:szCs w:val="30"/>
              </w:rPr>
              <w:tab/>
              <w:t>1</w:t>
            </w:r>
          </w:hyperlink>
          <w:r w:rsidR="00E70674">
            <w:rPr>
              <w:rFonts w:ascii="Times New Roman" w:hAnsi="Times New Roman" w:hint="eastAsia"/>
              <w:color w:val="000000" w:themeColor="text1"/>
              <w:szCs w:val="30"/>
            </w:rPr>
            <w:t>1</w:t>
          </w:r>
        </w:p>
        <w:p w:rsidR="001A79DF" w:rsidRDefault="00C86C30">
          <w:pPr>
            <w:pStyle w:val="20"/>
            <w:tabs>
              <w:tab w:val="right" w:leader="dot" w:pos="8306"/>
            </w:tabs>
            <w:spacing w:line="560" w:lineRule="exact"/>
            <w:ind w:leftChars="0" w:left="0" w:firstLine="600"/>
            <w:rPr>
              <w:rFonts w:ascii="Times New Roman" w:hAnsi="Times New Roman"/>
              <w:color w:val="000000" w:themeColor="text1"/>
              <w:szCs w:val="30"/>
            </w:rPr>
          </w:pPr>
          <w:hyperlink w:anchor="_Toc4377" w:history="1">
            <w:r w:rsidR="00E70674">
              <w:rPr>
                <w:rFonts w:ascii="Times New Roman" w:eastAsia="方正楷体_GBK" w:hAnsi="Times New Roman" w:cs="方正楷体_GBK" w:hint="eastAsia"/>
                <w:color w:val="000000" w:themeColor="text1"/>
                <w:szCs w:val="30"/>
              </w:rPr>
              <w:t>（四）</w:t>
            </w:r>
            <w:r w:rsidR="00E70674">
              <w:rPr>
                <w:rFonts w:ascii="Times New Roman" w:eastAsia="方正楷体_GBK" w:hAnsi="Times New Roman" w:cs="Times New Roman" w:hint="eastAsia"/>
                <w:color w:val="000000" w:themeColor="text1"/>
                <w:szCs w:val="30"/>
              </w:rPr>
              <w:t>推进</w:t>
            </w:r>
            <w:r w:rsidR="00E70674">
              <w:rPr>
                <w:rFonts w:ascii="Times New Roman" w:eastAsia="方正楷体_GBK" w:hAnsi="Times New Roman" w:cs="Times New Roman"/>
                <w:color w:val="000000" w:themeColor="text1"/>
                <w:szCs w:val="30"/>
              </w:rPr>
              <w:t>改革开放纵深突破</w:t>
            </w:r>
            <w:r w:rsidR="00E70674">
              <w:rPr>
                <w:rFonts w:ascii="Times New Roman" w:hAnsi="Times New Roman"/>
                <w:color w:val="000000" w:themeColor="text1"/>
                <w:szCs w:val="30"/>
              </w:rPr>
              <w:tab/>
              <w:t>1</w:t>
            </w:r>
          </w:hyperlink>
          <w:r w:rsidR="00E70674">
            <w:rPr>
              <w:rFonts w:ascii="Times New Roman" w:hAnsi="Times New Roman"/>
              <w:color w:val="000000" w:themeColor="text1"/>
              <w:szCs w:val="30"/>
            </w:rPr>
            <w:t>1</w:t>
          </w:r>
        </w:p>
        <w:p w:rsidR="001A79DF" w:rsidRDefault="00C86C30">
          <w:pPr>
            <w:pStyle w:val="20"/>
            <w:tabs>
              <w:tab w:val="right" w:leader="dot" w:pos="8306"/>
            </w:tabs>
            <w:spacing w:line="560" w:lineRule="exact"/>
            <w:ind w:leftChars="0" w:left="0" w:firstLine="600"/>
            <w:rPr>
              <w:rFonts w:ascii="Times New Roman" w:hAnsi="Times New Roman"/>
              <w:color w:val="000000" w:themeColor="text1"/>
              <w:szCs w:val="30"/>
            </w:rPr>
          </w:pPr>
          <w:hyperlink w:anchor="_Toc2379" w:history="1">
            <w:r w:rsidR="00E70674">
              <w:rPr>
                <w:rFonts w:ascii="Times New Roman" w:eastAsia="方正楷体_GBK" w:hAnsi="Times New Roman" w:cs="方正楷体_GBK" w:hint="eastAsia"/>
                <w:color w:val="000000" w:themeColor="text1"/>
                <w:szCs w:val="30"/>
              </w:rPr>
              <w:t>（五）</w:t>
            </w:r>
            <w:r w:rsidR="00E70674">
              <w:rPr>
                <w:rFonts w:ascii="Times New Roman" w:eastAsia="方正楷体_GBK" w:hAnsi="Times New Roman" w:cs="Times New Roman" w:hint="eastAsia"/>
                <w:color w:val="000000" w:themeColor="text1"/>
                <w:szCs w:val="30"/>
              </w:rPr>
              <w:t>高效落实国家重大</w:t>
            </w:r>
            <w:r w:rsidR="00E70674">
              <w:rPr>
                <w:rFonts w:ascii="Times New Roman" w:eastAsia="方正楷体_GBK" w:hAnsi="Times New Roman" w:cs="Times New Roman"/>
                <w:color w:val="000000" w:themeColor="text1"/>
                <w:szCs w:val="30"/>
              </w:rPr>
              <w:t>战略</w:t>
            </w:r>
            <w:r w:rsidR="00E70674">
              <w:rPr>
                <w:rFonts w:ascii="Times New Roman" w:hAnsi="Times New Roman"/>
                <w:color w:val="000000" w:themeColor="text1"/>
                <w:szCs w:val="30"/>
              </w:rPr>
              <w:tab/>
            </w:r>
          </w:hyperlink>
          <w:r w:rsidR="00E70674">
            <w:rPr>
              <w:rFonts w:ascii="Times New Roman" w:hAnsi="Times New Roman" w:hint="eastAsia"/>
              <w:color w:val="000000" w:themeColor="text1"/>
              <w:szCs w:val="30"/>
            </w:rPr>
            <w:t>12</w:t>
          </w:r>
        </w:p>
        <w:p w:rsidR="001A79DF" w:rsidRDefault="00C86C30">
          <w:pPr>
            <w:pStyle w:val="20"/>
            <w:tabs>
              <w:tab w:val="right" w:leader="dot" w:pos="8306"/>
            </w:tabs>
            <w:spacing w:line="560" w:lineRule="exact"/>
            <w:ind w:leftChars="0" w:left="0" w:firstLine="600"/>
            <w:rPr>
              <w:rFonts w:ascii="Times New Roman" w:hAnsi="Times New Roman"/>
              <w:color w:val="000000" w:themeColor="text1"/>
              <w:szCs w:val="30"/>
            </w:rPr>
          </w:pPr>
          <w:hyperlink w:anchor="_Toc17480" w:history="1">
            <w:r w:rsidR="00E70674">
              <w:rPr>
                <w:rFonts w:ascii="Times New Roman" w:eastAsia="方正楷体_GBK" w:hAnsi="Times New Roman" w:cs="方正楷体_GBK" w:hint="eastAsia"/>
                <w:color w:val="000000" w:themeColor="text1"/>
                <w:szCs w:val="30"/>
              </w:rPr>
              <w:t>（六）</w:t>
            </w:r>
            <w:r w:rsidR="00E70674">
              <w:rPr>
                <w:rFonts w:ascii="Times New Roman" w:eastAsia="方正楷体_GBK" w:hAnsi="Times New Roman" w:cs="Times New Roman"/>
                <w:color w:val="000000" w:themeColor="text1"/>
                <w:szCs w:val="30"/>
              </w:rPr>
              <w:t>扎实推进</w:t>
            </w:r>
            <w:r w:rsidR="00E70674">
              <w:rPr>
                <w:rFonts w:ascii="Times New Roman" w:eastAsia="方正楷体_GBK" w:hAnsi="Times New Roman" w:cs="Times New Roman" w:hint="eastAsia"/>
                <w:color w:val="000000" w:themeColor="text1"/>
                <w:szCs w:val="30"/>
              </w:rPr>
              <w:t>全面</w:t>
            </w:r>
            <w:r w:rsidR="00E70674">
              <w:rPr>
                <w:rFonts w:ascii="Times New Roman" w:eastAsia="方正楷体_GBK" w:hAnsi="Times New Roman" w:cs="Times New Roman"/>
                <w:color w:val="000000" w:themeColor="text1"/>
                <w:szCs w:val="30"/>
              </w:rPr>
              <w:t>绿色转型</w:t>
            </w:r>
            <w:r w:rsidR="00E70674">
              <w:rPr>
                <w:rFonts w:ascii="Times New Roman" w:hAnsi="Times New Roman"/>
                <w:color w:val="000000" w:themeColor="text1"/>
                <w:szCs w:val="30"/>
              </w:rPr>
              <w:tab/>
            </w:r>
          </w:hyperlink>
          <w:r w:rsidR="00E70674">
            <w:rPr>
              <w:rFonts w:ascii="Times New Roman" w:hAnsi="Times New Roman" w:hint="eastAsia"/>
              <w:color w:val="000000" w:themeColor="text1"/>
              <w:szCs w:val="30"/>
            </w:rPr>
            <w:t>13</w:t>
          </w:r>
        </w:p>
        <w:p w:rsidR="001A79DF" w:rsidRDefault="00C86C30">
          <w:pPr>
            <w:pStyle w:val="20"/>
            <w:tabs>
              <w:tab w:val="right" w:leader="dot" w:pos="8306"/>
            </w:tabs>
            <w:spacing w:line="560" w:lineRule="exact"/>
            <w:ind w:leftChars="0" w:left="0" w:firstLine="600"/>
            <w:rPr>
              <w:rFonts w:ascii="Times New Roman" w:hAnsi="Times New Roman"/>
              <w:color w:val="000000" w:themeColor="text1"/>
              <w:szCs w:val="30"/>
            </w:rPr>
          </w:pPr>
          <w:hyperlink w:anchor="_Toc14148" w:history="1">
            <w:r w:rsidR="00E70674">
              <w:rPr>
                <w:rFonts w:ascii="Times New Roman" w:eastAsia="方正楷体_GBK" w:hAnsi="Times New Roman" w:cs="方正楷体_GBK" w:hint="eastAsia"/>
                <w:color w:val="000000" w:themeColor="text1"/>
                <w:szCs w:val="30"/>
              </w:rPr>
              <w:t>（七）</w:t>
            </w:r>
            <w:r w:rsidR="00E70674">
              <w:rPr>
                <w:rFonts w:ascii="Times New Roman" w:eastAsia="方正楷体_GBK" w:hAnsi="Times New Roman" w:cs="Times New Roman" w:hint="eastAsia"/>
                <w:color w:val="000000" w:themeColor="text1"/>
                <w:szCs w:val="30"/>
              </w:rPr>
              <w:t>持续提升</w:t>
            </w:r>
            <w:r w:rsidR="00E70674">
              <w:rPr>
                <w:rFonts w:ascii="Times New Roman" w:eastAsia="方正楷体_GBK" w:hAnsi="Times New Roman" w:cs="Times New Roman"/>
                <w:color w:val="000000" w:themeColor="text1"/>
                <w:szCs w:val="30"/>
              </w:rPr>
              <w:t>民生保障</w:t>
            </w:r>
            <w:r w:rsidR="00E70674">
              <w:rPr>
                <w:rFonts w:ascii="Times New Roman" w:eastAsia="方正楷体_GBK" w:hAnsi="Times New Roman" w:cs="Times New Roman" w:hint="eastAsia"/>
                <w:color w:val="000000" w:themeColor="text1"/>
                <w:szCs w:val="30"/>
              </w:rPr>
              <w:t>质量</w:t>
            </w:r>
            <w:r w:rsidR="00E70674">
              <w:rPr>
                <w:rFonts w:ascii="Times New Roman" w:hAnsi="Times New Roman"/>
                <w:color w:val="000000" w:themeColor="text1"/>
                <w:szCs w:val="30"/>
              </w:rPr>
              <w:tab/>
            </w:r>
          </w:hyperlink>
          <w:r w:rsidR="00E70674">
            <w:rPr>
              <w:rFonts w:ascii="Times New Roman" w:hAnsi="Times New Roman" w:hint="eastAsia"/>
              <w:color w:val="000000" w:themeColor="text1"/>
              <w:szCs w:val="30"/>
            </w:rPr>
            <w:t>14</w:t>
          </w:r>
        </w:p>
        <w:p w:rsidR="001A79DF" w:rsidRDefault="00C86C30">
          <w:pPr>
            <w:pStyle w:val="20"/>
            <w:tabs>
              <w:tab w:val="right" w:leader="dot" w:pos="8306"/>
            </w:tabs>
            <w:spacing w:line="560" w:lineRule="exact"/>
            <w:ind w:leftChars="0" w:left="0" w:firstLine="600"/>
            <w:rPr>
              <w:rFonts w:ascii="Times New Roman" w:hAnsi="Times New Roman"/>
            </w:rPr>
          </w:pPr>
          <w:hyperlink w:anchor="_Toc14148" w:history="1">
            <w:r w:rsidR="00E70674">
              <w:rPr>
                <w:rFonts w:ascii="Times New Roman" w:eastAsia="方正楷体_GBK" w:hAnsi="Times New Roman" w:cs="方正楷体_GBK" w:hint="eastAsia"/>
                <w:color w:val="000000" w:themeColor="text1"/>
                <w:szCs w:val="30"/>
              </w:rPr>
              <w:t>（八）</w:t>
            </w:r>
            <w:r w:rsidR="00E70674">
              <w:rPr>
                <w:rFonts w:ascii="Times New Roman" w:eastAsia="方正楷体_GBK" w:hAnsi="Times New Roman" w:cs="Times New Roman"/>
                <w:color w:val="000000" w:themeColor="text1"/>
                <w:szCs w:val="30"/>
              </w:rPr>
              <w:t>持续加强</w:t>
            </w:r>
            <w:r w:rsidR="00E70674">
              <w:rPr>
                <w:rFonts w:ascii="Times New Roman" w:eastAsia="方正楷体_GBK" w:hAnsi="Times New Roman" w:cs="Times New Roman" w:hint="eastAsia"/>
                <w:color w:val="000000" w:themeColor="text1"/>
                <w:szCs w:val="30"/>
              </w:rPr>
              <w:t>机关</w:t>
            </w:r>
            <w:r w:rsidR="00E70674">
              <w:rPr>
                <w:rFonts w:ascii="Times New Roman" w:eastAsia="方正楷体_GBK" w:hAnsi="Times New Roman" w:cs="Times New Roman"/>
                <w:color w:val="000000" w:themeColor="text1"/>
                <w:szCs w:val="30"/>
              </w:rPr>
              <w:t>作风建设</w:t>
            </w:r>
            <w:r w:rsidR="00E70674">
              <w:rPr>
                <w:rFonts w:ascii="Times New Roman" w:hAnsi="Times New Roman"/>
                <w:color w:val="000000" w:themeColor="text1"/>
                <w:szCs w:val="30"/>
              </w:rPr>
              <w:tab/>
            </w:r>
          </w:hyperlink>
          <w:r w:rsidR="00E70674">
            <w:rPr>
              <w:rFonts w:ascii="Times New Roman" w:hAnsi="Times New Roman" w:hint="eastAsia"/>
              <w:color w:val="000000" w:themeColor="text1"/>
              <w:szCs w:val="30"/>
            </w:rPr>
            <w:t>14</w:t>
          </w:r>
        </w:p>
        <w:p w:rsidR="001A79DF" w:rsidRDefault="00C86C30">
          <w:pPr>
            <w:pStyle w:val="10"/>
            <w:tabs>
              <w:tab w:val="right" w:leader="dot" w:pos="8306"/>
            </w:tabs>
            <w:spacing w:line="560" w:lineRule="exact"/>
            <w:ind w:firstLineChars="0" w:firstLine="0"/>
            <w:rPr>
              <w:rFonts w:ascii="Times New Roman" w:hAnsi="Times New Roman"/>
            </w:rPr>
          </w:pPr>
          <w:hyperlink w:anchor="_Toc1637" w:history="1">
            <w:r w:rsidR="00E70674">
              <w:rPr>
                <w:rFonts w:ascii="Times New Roman" w:eastAsia="黑体" w:hAnsi="Times New Roman" w:cs="Times New Roman"/>
                <w:szCs w:val="32"/>
              </w:rPr>
              <w:t>四、存在问题</w:t>
            </w:r>
            <w:r w:rsidR="00E70674">
              <w:rPr>
                <w:rFonts w:ascii="Times New Roman" w:hAnsi="Times New Roman"/>
              </w:rPr>
              <w:tab/>
            </w:r>
            <w:r w:rsidR="00E70674">
              <w:rPr>
                <w:rFonts w:ascii="Times New Roman" w:hAnsi="Times New Roman"/>
              </w:rPr>
              <w:fldChar w:fldCharType="begin"/>
            </w:r>
            <w:r w:rsidR="00E70674">
              <w:rPr>
                <w:rFonts w:ascii="Times New Roman" w:hAnsi="Times New Roman"/>
              </w:rPr>
              <w:instrText xml:space="preserve"> PAGEREF _Toc1637 \h </w:instrText>
            </w:r>
            <w:r w:rsidR="00E70674">
              <w:rPr>
                <w:rFonts w:ascii="Times New Roman" w:hAnsi="Times New Roman"/>
              </w:rPr>
            </w:r>
            <w:r w:rsidR="00E70674">
              <w:rPr>
                <w:rFonts w:ascii="Times New Roman" w:hAnsi="Times New Roman"/>
              </w:rPr>
              <w:fldChar w:fldCharType="separate"/>
            </w:r>
            <w:r w:rsidR="00E70674">
              <w:rPr>
                <w:rFonts w:ascii="Times New Roman" w:hAnsi="Times New Roman"/>
              </w:rPr>
              <w:t>15</w:t>
            </w:r>
            <w:r w:rsidR="00E70674">
              <w:rPr>
                <w:rFonts w:ascii="Times New Roman" w:hAnsi="Times New Roman"/>
              </w:rPr>
              <w:fldChar w:fldCharType="end"/>
            </w:r>
          </w:hyperlink>
        </w:p>
        <w:p w:rsidR="001A79DF" w:rsidRDefault="00C86C30">
          <w:pPr>
            <w:pStyle w:val="20"/>
            <w:tabs>
              <w:tab w:val="right" w:leader="dot" w:pos="8306"/>
            </w:tabs>
            <w:spacing w:line="560" w:lineRule="exact"/>
            <w:ind w:leftChars="0" w:left="0" w:firstLine="600"/>
            <w:rPr>
              <w:rFonts w:ascii="Times New Roman" w:hAnsi="Times New Roman"/>
            </w:rPr>
          </w:pPr>
          <w:hyperlink w:anchor="_Toc9464" w:history="1">
            <w:r w:rsidR="00E70674">
              <w:rPr>
                <w:rFonts w:ascii="Times New Roman" w:eastAsia="方正楷体_GBK" w:hAnsi="Times New Roman" w:cs="方正楷体_GBK" w:hint="eastAsia"/>
                <w:szCs w:val="32"/>
              </w:rPr>
              <w:t>（一）</w:t>
            </w:r>
            <w:r w:rsidR="00E70674">
              <w:rPr>
                <w:rFonts w:ascii="Times New Roman" w:eastAsia="方正楷体_GBK" w:hAnsi="Times New Roman" w:cs="方正楷体_GBK"/>
                <w:bCs/>
              </w:rPr>
              <w:t>绩效</w:t>
            </w:r>
            <w:r w:rsidR="00E70674">
              <w:rPr>
                <w:rFonts w:ascii="Times New Roman" w:eastAsia="方正楷体_GBK" w:hAnsi="Times New Roman" w:cs="方正楷体_GBK" w:hint="eastAsia"/>
                <w:bCs/>
              </w:rPr>
              <w:t>指标设置还需进一步规范</w:t>
            </w:r>
            <w:r w:rsidR="00E70674">
              <w:rPr>
                <w:rFonts w:ascii="Times New Roman" w:hAnsi="Times New Roman"/>
              </w:rPr>
              <w:tab/>
            </w:r>
            <w:r w:rsidR="00E70674">
              <w:rPr>
                <w:rFonts w:ascii="Times New Roman" w:hAnsi="Times New Roman"/>
              </w:rPr>
              <w:fldChar w:fldCharType="begin"/>
            </w:r>
            <w:r w:rsidR="00E70674">
              <w:rPr>
                <w:rFonts w:ascii="Times New Roman" w:hAnsi="Times New Roman"/>
              </w:rPr>
              <w:instrText xml:space="preserve"> PAGEREF _Toc9464 \h </w:instrText>
            </w:r>
            <w:r w:rsidR="00E70674">
              <w:rPr>
                <w:rFonts w:ascii="Times New Roman" w:hAnsi="Times New Roman"/>
              </w:rPr>
            </w:r>
            <w:r w:rsidR="00E70674">
              <w:rPr>
                <w:rFonts w:ascii="Times New Roman" w:hAnsi="Times New Roman"/>
              </w:rPr>
              <w:fldChar w:fldCharType="separate"/>
            </w:r>
            <w:r w:rsidR="00E70674">
              <w:rPr>
                <w:rFonts w:ascii="Times New Roman" w:hAnsi="Times New Roman"/>
              </w:rPr>
              <w:t>15</w:t>
            </w:r>
            <w:r w:rsidR="00E70674">
              <w:rPr>
                <w:rFonts w:ascii="Times New Roman" w:hAnsi="Times New Roman"/>
              </w:rPr>
              <w:fldChar w:fldCharType="end"/>
            </w:r>
          </w:hyperlink>
        </w:p>
        <w:p w:rsidR="001A79DF" w:rsidRDefault="00C86C30">
          <w:pPr>
            <w:pStyle w:val="20"/>
            <w:tabs>
              <w:tab w:val="right" w:leader="dot" w:pos="8306"/>
            </w:tabs>
            <w:spacing w:line="560" w:lineRule="exact"/>
            <w:ind w:leftChars="0" w:left="0" w:firstLine="600"/>
            <w:rPr>
              <w:rFonts w:ascii="Times New Roman" w:hAnsi="Times New Roman"/>
            </w:rPr>
          </w:pPr>
          <w:hyperlink w:anchor="_Toc22732" w:history="1">
            <w:r w:rsidR="00E70674">
              <w:rPr>
                <w:rFonts w:ascii="Times New Roman" w:eastAsia="方正楷体_GBK" w:hAnsi="Times New Roman" w:cs="方正楷体_GBK" w:hint="eastAsia"/>
                <w:szCs w:val="32"/>
              </w:rPr>
              <w:t>（二）</w:t>
            </w:r>
            <w:r w:rsidR="00E70674">
              <w:rPr>
                <w:rFonts w:ascii="Times New Roman" w:eastAsia="方正楷体_GBK" w:hAnsi="Times New Roman" w:cs="方正楷体_GBK" w:hint="eastAsia"/>
              </w:rPr>
              <w:t>绩效运行监控有待进一步加强</w:t>
            </w:r>
            <w:r w:rsidR="00E70674">
              <w:rPr>
                <w:rFonts w:ascii="Times New Roman" w:hAnsi="Times New Roman"/>
              </w:rPr>
              <w:tab/>
            </w:r>
            <w:r w:rsidR="00E70674">
              <w:rPr>
                <w:rFonts w:ascii="Times New Roman" w:hAnsi="Times New Roman"/>
              </w:rPr>
              <w:fldChar w:fldCharType="begin"/>
            </w:r>
            <w:r w:rsidR="00E70674">
              <w:rPr>
                <w:rFonts w:ascii="Times New Roman" w:hAnsi="Times New Roman"/>
              </w:rPr>
              <w:instrText xml:space="preserve"> PAGEREF _Toc22732 \h </w:instrText>
            </w:r>
            <w:r w:rsidR="00E70674">
              <w:rPr>
                <w:rFonts w:ascii="Times New Roman" w:hAnsi="Times New Roman"/>
              </w:rPr>
            </w:r>
            <w:r w:rsidR="00E70674">
              <w:rPr>
                <w:rFonts w:ascii="Times New Roman" w:hAnsi="Times New Roman"/>
              </w:rPr>
              <w:fldChar w:fldCharType="separate"/>
            </w:r>
            <w:r w:rsidR="00E70674">
              <w:rPr>
                <w:rFonts w:ascii="Times New Roman" w:hAnsi="Times New Roman"/>
              </w:rPr>
              <w:t>15</w:t>
            </w:r>
            <w:r w:rsidR="00E70674">
              <w:rPr>
                <w:rFonts w:ascii="Times New Roman" w:hAnsi="Times New Roman"/>
              </w:rPr>
              <w:fldChar w:fldCharType="end"/>
            </w:r>
          </w:hyperlink>
        </w:p>
        <w:p w:rsidR="001A79DF" w:rsidRDefault="00C86C30">
          <w:pPr>
            <w:pStyle w:val="10"/>
            <w:tabs>
              <w:tab w:val="right" w:leader="dot" w:pos="8306"/>
            </w:tabs>
            <w:spacing w:line="560" w:lineRule="exact"/>
            <w:ind w:firstLineChars="0" w:firstLine="0"/>
            <w:rPr>
              <w:rFonts w:ascii="Times New Roman" w:hAnsi="Times New Roman"/>
            </w:rPr>
          </w:pPr>
          <w:hyperlink w:anchor="_Toc13400" w:history="1">
            <w:r w:rsidR="00E70674">
              <w:rPr>
                <w:rFonts w:ascii="Times New Roman" w:eastAsia="黑体" w:hAnsi="Times New Roman" w:cs="Times New Roman"/>
                <w:szCs w:val="32"/>
              </w:rPr>
              <w:t>五、有关建议</w:t>
            </w:r>
            <w:r w:rsidR="00E70674">
              <w:rPr>
                <w:rFonts w:ascii="Times New Roman" w:hAnsi="Times New Roman"/>
              </w:rPr>
              <w:tab/>
            </w:r>
            <w:r w:rsidR="00E70674">
              <w:rPr>
                <w:rFonts w:ascii="Times New Roman" w:hAnsi="Times New Roman"/>
              </w:rPr>
              <w:fldChar w:fldCharType="begin"/>
            </w:r>
            <w:r w:rsidR="00E70674">
              <w:rPr>
                <w:rFonts w:ascii="Times New Roman" w:hAnsi="Times New Roman"/>
              </w:rPr>
              <w:instrText xml:space="preserve"> PAGEREF _Toc13400 \h </w:instrText>
            </w:r>
            <w:r w:rsidR="00E70674">
              <w:rPr>
                <w:rFonts w:ascii="Times New Roman" w:hAnsi="Times New Roman"/>
              </w:rPr>
            </w:r>
            <w:r w:rsidR="00E70674">
              <w:rPr>
                <w:rFonts w:ascii="Times New Roman" w:hAnsi="Times New Roman"/>
              </w:rPr>
              <w:fldChar w:fldCharType="separate"/>
            </w:r>
            <w:r w:rsidR="00E70674">
              <w:rPr>
                <w:rFonts w:ascii="Times New Roman" w:hAnsi="Times New Roman"/>
              </w:rPr>
              <w:t>15</w:t>
            </w:r>
            <w:r w:rsidR="00E70674">
              <w:rPr>
                <w:rFonts w:ascii="Times New Roman" w:hAnsi="Times New Roman"/>
              </w:rPr>
              <w:fldChar w:fldCharType="end"/>
            </w:r>
          </w:hyperlink>
        </w:p>
        <w:p w:rsidR="001A79DF" w:rsidRDefault="00C86C30">
          <w:pPr>
            <w:pStyle w:val="20"/>
            <w:tabs>
              <w:tab w:val="right" w:leader="dot" w:pos="8306"/>
            </w:tabs>
            <w:spacing w:line="560" w:lineRule="exact"/>
            <w:ind w:leftChars="0" w:left="0" w:firstLine="600"/>
            <w:rPr>
              <w:rFonts w:ascii="Times New Roman" w:hAnsi="Times New Roman"/>
            </w:rPr>
          </w:pPr>
          <w:hyperlink w:anchor="_Toc2959" w:history="1">
            <w:r w:rsidR="00E70674">
              <w:rPr>
                <w:rFonts w:ascii="Times New Roman" w:eastAsia="方正楷体_GBK" w:hAnsi="Times New Roman" w:cs="方正楷体_GBK" w:hint="eastAsia"/>
                <w:szCs w:val="32"/>
              </w:rPr>
              <w:t>（一）</w:t>
            </w:r>
            <w:r w:rsidR="00E70674">
              <w:rPr>
                <w:rFonts w:ascii="Times New Roman" w:eastAsia="方正楷体_GBK" w:hAnsi="Times New Roman" w:cs="方正楷体_GBK" w:hint="eastAsia"/>
              </w:rPr>
              <w:t>进一步优化更新绩效指标库</w:t>
            </w:r>
            <w:r w:rsidR="00E70674">
              <w:rPr>
                <w:rFonts w:ascii="Times New Roman" w:hAnsi="Times New Roman"/>
              </w:rPr>
              <w:tab/>
            </w:r>
            <w:r w:rsidR="00E70674">
              <w:rPr>
                <w:rFonts w:ascii="Times New Roman" w:hAnsi="Times New Roman" w:hint="eastAsia"/>
              </w:rPr>
              <w:t>1</w:t>
            </w:r>
          </w:hyperlink>
          <w:r w:rsidR="00E70674">
            <w:rPr>
              <w:rFonts w:ascii="Times New Roman" w:hAnsi="Times New Roman" w:hint="eastAsia"/>
            </w:rPr>
            <w:t>5</w:t>
          </w:r>
        </w:p>
        <w:p w:rsidR="001A79DF" w:rsidRDefault="00C86C30">
          <w:pPr>
            <w:pStyle w:val="20"/>
            <w:tabs>
              <w:tab w:val="right" w:leader="dot" w:pos="8306"/>
            </w:tabs>
            <w:spacing w:line="560" w:lineRule="exact"/>
            <w:ind w:leftChars="0" w:left="0" w:firstLine="600"/>
            <w:rPr>
              <w:rFonts w:ascii="Times New Roman" w:hAnsi="Times New Roman"/>
              <w:color w:val="FF0000"/>
            </w:rPr>
          </w:pPr>
          <w:hyperlink w:anchor="_Toc7047" w:history="1">
            <w:r w:rsidR="00E70674">
              <w:rPr>
                <w:rFonts w:ascii="Times New Roman" w:eastAsia="方正楷体_GBK" w:hAnsi="Times New Roman" w:cs="方正楷体_GBK" w:hint="eastAsia"/>
                <w:szCs w:val="32"/>
              </w:rPr>
              <w:t>（二）</w:t>
            </w:r>
            <w:r w:rsidR="00E70674">
              <w:rPr>
                <w:rFonts w:ascii="Times New Roman" w:eastAsia="方正楷体_GBK" w:hAnsi="Times New Roman" w:cs="方正楷体_GBK" w:hint="eastAsia"/>
              </w:rPr>
              <w:t>进一步强化专项资金绩效管理</w:t>
            </w:r>
            <w:r w:rsidR="00E70674">
              <w:rPr>
                <w:rFonts w:ascii="Times New Roman" w:hAnsi="Times New Roman"/>
              </w:rPr>
              <w:tab/>
            </w:r>
            <w:r w:rsidR="00E70674">
              <w:rPr>
                <w:rFonts w:ascii="Times New Roman" w:hAnsi="Times New Roman" w:hint="eastAsia"/>
              </w:rPr>
              <w:t>1</w:t>
            </w:r>
          </w:hyperlink>
          <w:r w:rsidR="00E70674">
            <w:rPr>
              <w:rFonts w:ascii="Times New Roman" w:hAnsi="Times New Roman" w:hint="eastAsia"/>
            </w:rPr>
            <w:t>6</w:t>
          </w:r>
        </w:p>
        <w:p w:rsidR="001A79DF" w:rsidRDefault="00C86C30">
          <w:pPr>
            <w:pStyle w:val="10"/>
            <w:tabs>
              <w:tab w:val="right" w:leader="dot" w:pos="8306"/>
            </w:tabs>
            <w:spacing w:line="560" w:lineRule="exact"/>
            <w:ind w:firstLineChars="0" w:firstLine="0"/>
          </w:pPr>
          <w:hyperlink w:anchor="_Toc170474510" w:history="1">
            <w:r w:rsidR="00E70674">
              <w:rPr>
                <w:rFonts w:ascii="黑体" w:eastAsia="黑体" w:hAnsi="黑体" w:cs="黑体" w:hint="eastAsia"/>
              </w:rPr>
              <w:t>六、评价工作开展情况及其他需说明的情况</w:t>
            </w:r>
            <w:r w:rsidR="00E70674">
              <w:tab/>
            </w:r>
            <w:r w:rsidR="00E70674">
              <w:rPr>
                <w:rFonts w:hint="eastAsia"/>
              </w:rPr>
              <w:t>1</w:t>
            </w:r>
          </w:hyperlink>
          <w:r w:rsidR="00E70674">
            <w:rPr>
              <w:rFonts w:hint="eastAsia"/>
            </w:rPr>
            <w:t>6</w:t>
          </w:r>
        </w:p>
        <w:p w:rsidR="001A79DF" w:rsidRDefault="00C86C30">
          <w:pPr>
            <w:pStyle w:val="20"/>
            <w:tabs>
              <w:tab w:val="right" w:leader="dot" w:pos="8306"/>
            </w:tabs>
            <w:spacing w:line="560" w:lineRule="exact"/>
            <w:ind w:leftChars="0" w:left="0" w:firstLineChars="0" w:firstLine="0"/>
            <w:rPr>
              <w:rFonts w:ascii="Times New Roman" w:hAnsi="Times New Roman"/>
            </w:rPr>
          </w:pPr>
          <w:hyperlink w:anchor="_Toc28980" w:history="1">
            <w:r w:rsidR="00E70674">
              <w:rPr>
                <w:rFonts w:ascii="Times New Roman" w:eastAsia="黑体" w:hAnsi="Times New Roman" w:cs="黑体" w:hint="eastAsia"/>
                <w:szCs w:val="28"/>
              </w:rPr>
              <w:t>附件</w:t>
            </w:r>
            <w:r w:rsidR="00E70674">
              <w:rPr>
                <w:rFonts w:ascii="Times New Roman" w:hAnsi="Times New Roman"/>
              </w:rPr>
              <w:tab/>
            </w:r>
            <w:r w:rsidR="00E70674">
              <w:rPr>
                <w:rFonts w:ascii="Times New Roman" w:hAnsi="Times New Roman"/>
              </w:rPr>
              <w:fldChar w:fldCharType="begin"/>
            </w:r>
            <w:r w:rsidR="00E70674">
              <w:rPr>
                <w:rFonts w:ascii="Times New Roman" w:hAnsi="Times New Roman"/>
              </w:rPr>
              <w:instrText xml:space="preserve"> PAGEREF _Toc28980 \h </w:instrText>
            </w:r>
            <w:r w:rsidR="00E70674">
              <w:rPr>
                <w:rFonts w:ascii="Times New Roman" w:hAnsi="Times New Roman"/>
              </w:rPr>
            </w:r>
            <w:r w:rsidR="00E70674">
              <w:rPr>
                <w:rFonts w:ascii="Times New Roman" w:hAnsi="Times New Roman"/>
              </w:rPr>
              <w:fldChar w:fldCharType="separate"/>
            </w:r>
            <w:r w:rsidR="00E70674">
              <w:rPr>
                <w:rFonts w:ascii="Times New Roman" w:hAnsi="Times New Roman"/>
              </w:rPr>
              <w:t>19</w:t>
            </w:r>
            <w:r w:rsidR="00E70674">
              <w:rPr>
                <w:rFonts w:ascii="Times New Roman" w:hAnsi="Times New Roman"/>
              </w:rPr>
              <w:fldChar w:fldCharType="end"/>
            </w:r>
          </w:hyperlink>
        </w:p>
        <w:p w:rsidR="001A79DF" w:rsidRDefault="00E70674">
          <w:pPr>
            <w:spacing w:line="560" w:lineRule="exact"/>
            <w:ind w:firstLine="600"/>
            <w:rPr>
              <w:rFonts w:ascii="Times New Roman" w:hAnsi="Times New Roman"/>
            </w:rPr>
          </w:pPr>
          <w:r>
            <w:rPr>
              <w:rFonts w:ascii="Times New Roman" w:hAnsi="Times New Roman"/>
            </w:rPr>
            <w:fldChar w:fldCharType="end"/>
          </w:r>
        </w:p>
      </w:sdtContent>
    </w:sdt>
    <w:p w:rsidR="001A79DF" w:rsidRDefault="001A79DF">
      <w:pPr>
        <w:spacing w:beforeLines="50" w:before="156" w:afterLines="50" w:after="156" w:line="560" w:lineRule="exact"/>
        <w:ind w:firstLineChars="0" w:firstLine="0"/>
        <w:jc w:val="center"/>
        <w:rPr>
          <w:rFonts w:ascii="Times New Roman" w:eastAsia="方正小标宋_GBK" w:hAnsi="Times New Roman" w:cs="Times New Roman"/>
          <w:bCs/>
          <w:sz w:val="44"/>
          <w:szCs w:val="44"/>
        </w:rPr>
        <w:sectPr w:rsidR="001A79DF">
          <w:pgSz w:w="11906" w:h="16838"/>
          <w:pgMar w:top="1440" w:right="1800" w:bottom="1440" w:left="1800" w:header="851" w:footer="992" w:gutter="0"/>
          <w:cols w:space="425"/>
          <w:docGrid w:type="lines" w:linePitch="312"/>
        </w:sectPr>
      </w:pPr>
    </w:p>
    <w:p w:rsidR="001A79DF" w:rsidRDefault="00E70674">
      <w:pPr>
        <w:spacing w:beforeLines="50" w:before="156" w:afterLines="50" w:after="156" w:line="560" w:lineRule="exact"/>
        <w:ind w:firstLineChars="0" w:firstLine="0"/>
        <w:jc w:val="center"/>
        <w:rPr>
          <w:rFonts w:ascii="Times New Roman" w:eastAsia="方正小标宋_GBK" w:hAnsi="Times New Roman" w:cs="Times New Roman"/>
          <w:bCs/>
          <w:sz w:val="44"/>
          <w:szCs w:val="44"/>
        </w:rPr>
      </w:pPr>
      <w:r>
        <w:rPr>
          <w:rFonts w:ascii="Times New Roman" w:eastAsia="方正小标宋_GBK" w:hAnsi="Times New Roman" w:cs="Times New Roman"/>
          <w:bCs/>
          <w:sz w:val="44"/>
          <w:szCs w:val="44"/>
        </w:rPr>
        <w:lastRenderedPageBreak/>
        <w:t>南京市发展和改革委员会</w:t>
      </w:r>
      <w:r w:rsidR="001F065D">
        <w:rPr>
          <w:rFonts w:ascii="Times New Roman" w:eastAsia="方正小标宋_GBK" w:hAnsi="Times New Roman" w:cs="Times New Roman"/>
          <w:bCs/>
          <w:sz w:val="44"/>
          <w:szCs w:val="44"/>
        </w:rPr>
        <w:t>2025</w:t>
      </w:r>
      <w:r w:rsidR="001F065D">
        <w:rPr>
          <w:rFonts w:ascii="Times New Roman" w:eastAsia="方正小标宋_GBK" w:hAnsi="Times New Roman" w:cs="Times New Roman"/>
          <w:bCs/>
          <w:sz w:val="44"/>
          <w:szCs w:val="44"/>
        </w:rPr>
        <w:t>年度</w:t>
      </w:r>
    </w:p>
    <w:p w:rsidR="001A79DF" w:rsidRDefault="00E70674">
      <w:pPr>
        <w:spacing w:line="560" w:lineRule="exact"/>
        <w:ind w:firstLineChars="0" w:firstLine="0"/>
        <w:jc w:val="center"/>
        <w:rPr>
          <w:rFonts w:ascii="Times New Roman" w:eastAsia="方正小标宋_GBK" w:hAnsi="Times New Roman" w:cs="Times New Roman"/>
          <w:bCs/>
          <w:sz w:val="44"/>
          <w:szCs w:val="44"/>
        </w:rPr>
      </w:pPr>
      <w:r>
        <w:rPr>
          <w:rFonts w:ascii="Times New Roman" w:eastAsia="方正小标宋_GBK" w:hAnsi="Times New Roman" w:cs="Times New Roman"/>
          <w:bCs/>
          <w:sz w:val="44"/>
          <w:szCs w:val="44"/>
        </w:rPr>
        <w:t>部门整体</w:t>
      </w:r>
      <w:r w:rsidR="00700976">
        <w:rPr>
          <w:rFonts w:ascii="Times New Roman" w:eastAsia="方正小标宋_GBK" w:hAnsi="Times New Roman" w:cs="Times New Roman"/>
          <w:bCs/>
          <w:sz w:val="44"/>
          <w:szCs w:val="44"/>
        </w:rPr>
        <w:t>支出</w:t>
      </w:r>
      <w:bookmarkStart w:id="0" w:name="_GoBack"/>
      <w:bookmarkEnd w:id="0"/>
      <w:r>
        <w:rPr>
          <w:rFonts w:ascii="Times New Roman" w:eastAsia="方正小标宋_GBK" w:hAnsi="Times New Roman" w:cs="Times New Roman"/>
          <w:bCs/>
          <w:sz w:val="44"/>
          <w:szCs w:val="44"/>
        </w:rPr>
        <w:t>绩效自评价报告</w:t>
      </w:r>
    </w:p>
    <w:p w:rsidR="001A79DF" w:rsidRDefault="001A79DF">
      <w:pPr>
        <w:spacing w:line="560" w:lineRule="exact"/>
        <w:ind w:firstLine="640"/>
        <w:rPr>
          <w:rFonts w:ascii="Times New Roman" w:hAnsi="Times New Roman" w:cs="方正仿宋_GBK"/>
          <w:sz w:val="32"/>
          <w:szCs w:val="32"/>
        </w:rPr>
      </w:pPr>
    </w:p>
    <w:p w:rsidR="001A79DF" w:rsidRDefault="00E70674">
      <w:pPr>
        <w:spacing w:line="560" w:lineRule="exact"/>
        <w:ind w:firstLine="640"/>
        <w:rPr>
          <w:rFonts w:ascii="Times New Roman" w:hAnsi="Times New Roman" w:cs="方正仿宋_GBK"/>
          <w:sz w:val="32"/>
          <w:szCs w:val="32"/>
        </w:rPr>
      </w:pPr>
      <w:r>
        <w:rPr>
          <w:rFonts w:ascii="Times New Roman" w:hAnsi="Times New Roman" w:cs="方正仿宋_GBK" w:hint="eastAsia"/>
          <w:sz w:val="32"/>
          <w:szCs w:val="32"/>
        </w:rPr>
        <w:t>为加强公共财政预算绩效管理，提高财政资金使用效能，推进提高南京市发展和改革委员会（以下简称“市发改委”）整体预算绩效管理水平，根据《南京市市级预算绩效管理办法》（宁</w:t>
      </w:r>
      <w:proofErr w:type="gramStart"/>
      <w:r>
        <w:rPr>
          <w:rFonts w:ascii="Times New Roman" w:hAnsi="Times New Roman" w:cs="方正仿宋_GBK" w:hint="eastAsia"/>
          <w:sz w:val="32"/>
          <w:szCs w:val="32"/>
        </w:rPr>
        <w:t>委办厅字〔</w:t>
      </w:r>
      <w:r>
        <w:rPr>
          <w:rFonts w:ascii="Times New Roman" w:hAnsi="Times New Roman" w:cs="方正仿宋_GBK" w:hint="eastAsia"/>
          <w:sz w:val="32"/>
          <w:szCs w:val="32"/>
        </w:rPr>
        <w:t>2024</w:t>
      </w:r>
      <w:r>
        <w:rPr>
          <w:rFonts w:ascii="Times New Roman" w:hAnsi="Times New Roman" w:cs="方正仿宋_GBK" w:hint="eastAsia"/>
          <w:sz w:val="32"/>
          <w:szCs w:val="32"/>
        </w:rPr>
        <w:t>〕</w:t>
      </w:r>
      <w:proofErr w:type="gramEnd"/>
      <w:r>
        <w:rPr>
          <w:rFonts w:ascii="Times New Roman" w:hAnsi="Times New Roman" w:cs="方正仿宋_GBK" w:hint="eastAsia"/>
          <w:sz w:val="32"/>
          <w:szCs w:val="32"/>
        </w:rPr>
        <w:t>2</w:t>
      </w:r>
      <w:r>
        <w:rPr>
          <w:rFonts w:ascii="Times New Roman" w:hAnsi="Times New Roman" w:cs="方正仿宋_GBK" w:hint="eastAsia"/>
          <w:sz w:val="32"/>
          <w:szCs w:val="32"/>
        </w:rPr>
        <w:t>号），</w:t>
      </w:r>
      <w:proofErr w:type="gramStart"/>
      <w:r>
        <w:rPr>
          <w:rFonts w:ascii="Times New Roman" w:hAnsi="Times New Roman" w:cs="方正仿宋_GBK" w:hint="eastAsia"/>
          <w:sz w:val="32"/>
          <w:szCs w:val="32"/>
        </w:rPr>
        <w:t>市发改委</w:t>
      </w:r>
      <w:proofErr w:type="gramEnd"/>
      <w:r>
        <w:rPr>
          <w:rFonts w:ascii="Times New Roman" w:hAnsi="Times New Roman" w:cs="方正仿宋_GBK" w:hint="eastAsia"/>
          <w:sz w:val="32"/>
          <w:szCs w:val="32"/>
        </w:rPr>
        <w:t>对本级财政收支情况及履职效能等进行了自我评价。现将</w:t>
      </w:r>
      <w:proofErr w:type="gramStart"/>
      <w:r>
        <w:rPr>
          <w:rFonts w:ascii="Times New Roman" w:hAnsi="Times New Roman" w:cs="方正仿宋_GBK" w:hint="eastAsia"/>
          <w:sz w:val="32"/>
          <w:szCs w:val="32"/>
        </w:rPr>
        <w:t>自评价</w:t>
      </w:r>
      <w:proofErr w:type="gramEnd"/>
      <w:r>
        <w:rPr>
          <w:rFonts w:ascii="Times New Roman" w:hAnsi="Times New Roman" w:cs="方正仿宋_GBK" w:hint="eastAsia"/>
          <w:sz w:val="32"/>
          <w:szCs w:val="32"/>
        </w:rPr>
        <w:t>情况报告如下：</w:t>
      </w:r>
    </w:p>
    <w:p w:rsidR="001A79DF" w:rsidRDefault="00E70674">
      <w:pPr>
        <w:pStyle w:val="1"/>
        <w:spacing w:line="560" w:lineRule="exact"/>
        <w:ind w:firstLine="640"/>
        <w:rPr>
          <w:rFonts w:ascii="Times New Roman" w:eastAsia="方正楷体_GBK" w:hAnsi="Times New Roman" w:cs="方正楷体_GBK"/>
          <w:szCs w:val="32"/>
        </w:rPr>
      </w:pPr>
      <w:bookmarkStart w:id="1" w:name="_Toc8426"/>
      <w:bookmarkStart w:id="2" w:name="_Toc19964"/>
      <w:bookmarkStart w:id="3" w:name="_Toc27862"/>
      <w:bookmarkStart w:id="4" w:name="_Toc28636"/>
      <w:bookmarkStart w:id="5" w:name="_Toc31359"/>
      <w:bookmarkStart w:id="6" w:name="_Toc28886"/>
      <w:bookmarkStart w:id="7" w:name="_Toc29619"/>
      <w:bookmarkStart w:id="8" w:name="_Toc170474481"/>
      <w:bookmarkStart w:id="9" w:name="_Toc6695"/>
      <w:bookmarkStart w:id="10" w:name="_Toc169773111"/>
      <w:bookmarkStart w:id="11" w:name="_Toc32020"/>
      <w:bookmarkStart w:id="12" w:name="_Toc3987"/>
      <w:bookmarkStart w:id="13" w:name="_Toc15102"/>
      <w:bookmarkStart w:id="14" w:name="_Toc169773110"/>
      <w:bookmarkStart w:id="15" w:name="_Toc28335"/>
      <w:bookmarkStart w:id="16" w:name="_Toc170474480"/>
      <w:bookmarkStart w:id="17" w:name="_Toc15957"/>
      <w:bookmarkStart w:id="18" w:name="_Toc18842"/>
      <w:bookmarkStart w:id="19" w:name="_Toc28915"/>
      <w:r>
        <w:rPr>
          <w:rFonts w:ascii="Times New Roman" w:hAnsi="Times New Roman" w:cs="方正黑体_GBK" w:hint="eastAsia"/>
          <w:szCs w:val="32"/>
        </w:rPr>
        <w:t>一、部门概况</w:t>
      </w:r>
      <w:bookmarkEnd w:id="1"/>
    </w:p>
    <w:p w:rsidR="001A79DF" w:rsidRDefault="00E70674">
      <w:pPr>
        <w:pStyle w:val="2"/>
        <w:ind w:firstLine="640"/>
        <w:rPr>
          <w:rFonts w:ascii="Times New Roman" w:eastAsia="方正楷体_GBK" w:hAnsi="Times New Roman" w:cs="方正楷体_GBK"/>
        </w:rPr>
      </w:pPr>
      <w:bookmarkStart w:id="20" w:name="_Toc776"/>
      <w:r>
        <w:rPr>
          <w:rFonts w:ascii="Times New Roman" w:eastAsia="方正楷体_GBK" w:hAnsi="Times New Roman" w:cs="方正楷体_GBK" w:hint="eastAsia"/>
        </w:rPr>
        <w:t>（一）部门</w:t>
      </w:r>
      <w:bookmarkEnd w:id="2"/>
      <w:bookmarkEnd w:id="3"/>
      <w:bookmarkEnd w:id="4"/>
      <w:bookmarkEnd w:id="5"/>
      <w:bookmarkEnd w:id="6"/>
      <w:bookmarkEnd w:id="7"/>
      <w:r>
        <w:rPr>
          <w:rFonts w:ascii="Times New Roman" w:eastAsia="方正楷体_GBK" w:hAnsi="Times New Roman" w:cs="方正楷体_GBK" w:hint="eastAsia"/>
        </w:rPr>
        <w:t>基本情况</w:t>
      </w:r>
      <w:bookmarkEnd w:id="8"/>
      <w:bookmarkEnd w:id="9"/>
      <w:bookmarkEnd w:id="10"/>
      <w:bookmarkEnd w:id="20"/>
    </w:p>
    <w:p w:rsidR="001A79DF" w:rsidRDefault="00E70674">
      <w:pPr>
        <w:spacing w:line="560" w:lineRule="exact"/>
        <w:ind w:firstLine="640"/>
        <w:rPr>
          <w:rFonts w:ascii="Times New Roman" w:hAnsi="Times New Roman" w:cs="方正仿宋_GBK"/>
          <w:sz w:val="32"/>
          <w:szCs w:val="32"/>
        </w:rPr>
      </w:pPr>
      <w:r>
        <w:rPr>
          <w:rFonts w:ascii="Times New Roman" w:hAnsi="Times New Roman" w:cs="方正仿宋_GBK" w:hint="eastAsia"/>
          <w:sz w:val="32"/>
          <w:szCs w:val="32"/>
        </w:rPr>
        <w:t>根据《中共中央关于深化党和国家机构改革的决定》《中共江苏省委关于市县机构改革的总体意见》（苏发〔</w:t>
      </w:r>
      <w:r>
        <w:rPr>
          <w:rFonts w:ascii="Times New Roman" w:hAnsi="Times New Roman" w:cs="方正仿宋_GBK" w:hint="eastAsia"/>
          <w:sz w:val="32"/>
          <w:szCs w:val="32"/>
        </w:rPr>
        <w:t>2018</w:t>
      </w:r>
      <w:r>
        <w:rPr>
          <w:rFonts w:ascii="Times New Roman" w:hAnsi="Times New Roman" w:cs="方正仿宋_GBK" w:hint="eastAsia"/>
          <w:sz w:val="32"/>
          <w:szCs w:val="32"/>
        </w:rPr>
        <w:t>〕</w:t>
      </w:r>
      <w:r>
        <w:rPr>
          <w:rFonts w:ascii="Times New Roman" w:hAnsi="Times New Roman" w:cs="方正仿宋_GBK" w:hint="eastAsia"/>
          <w:sz w:val="32"/>
          <w:szCs w:val="32"/>
        </w:rPr>
        <w:t>32</w:t>
      </w:r>
      <w:r>
        <w:rPr>
          <w:rFonts w:ascii="Times New Roman" w:hAnsi="Times New Roman" w:cs="方正仿宋_GBK" w:hint="eastAsia"/>
          <w:sz w:val="32"/>
          <w:szCs w:val="32"/>
        </w:rPr>
        <w:t>号）和《中共江苏省委办公厅江苏省政府办公厅关于印发〈南京市机构改革方案〉的通知》（</w:t>
      </w:r>
      <w:proofErr w:type="gramStart"/>
      <w:r>
        <w:rPr>
          <w:rFonts w:ascii="Times New Roman" w:hAnsi="Times New Roman" w:cs="方正仿宋_GBK" w:hint="eastAsia"/>
          <w:sz w:val="32"/>
          <w:szCs w:val="32"/>
        </w:rPr>
        <w:t>苏办〔</w:t>
      </w:r>
      <w:r>
        <w:rPr>
          <w:rFonts w:ascii="Times New Roman" w:hAnsi="Times New Roman" w:cs="方正仿宋_GBK" w:hint="eastAsia"/>
          <w:sz w:val="32"/>
          <w:szCs w:val="32"/>
        </w:rPr>
        <w:t>2019</w:t>
      </w:r>
      <w:r>
        <w:rPr>
          <w:rFonts w:ascii="Times New Roman" w:hAnsi="Times New Roman" w:cs="方正仿宋_GBK" w:hint="eastAsia"/>
          <w:sz w:val="32"/>
          <w:szCs w:val="32"/>
        </w:rPr>
        <w:t>〕</w:t>
      </w:r>
      <w:proofErr w:type="gramEnd"/>
      <w:r>
        <w:rPr>
          <w:rFonts w:ascii="Times New Roman" w:hAnsi="Times New Roman" w:cs="方正仿宋_GBK" w:hint="eastAsia"/>
          <w:sz w:val="32"/>
          <w:szCs w:val="32"/>
        </w:rPr>
        <w:t>1</w:t>
      </w:r>
      <w:r>
        <w:rPr>
          <w:rFonts w:ascii="Times New Roman" w:hAnsi="Times New Roman" w:cs="方正仿宋_GBK" w:hint="eastAsia"/>
          <w:sz w:val="32"/>
          <w:szCs w:val="32"/>
        </w:rPr>
        <w:t>号），转隶组建南京市发展和改革委员会，为正局级政府工作部门，加挂南京市粮食和物资储备局牌子。</w:t>
      </w:r>
    </w:p>
    <w:p w:rsidR="001A79DF" w:rsidRDefault="00E70674">
      <w:pPr>
        <w:pStyle w:val="3"/>
        <w:spacing w:line="560" w:lineRule="exact"/>
        <w:ind w:firstLine="640"/>
        <w:rPr>
          <w:rFonts w:ascii="Times New Roman" w:eastAsia="方正仿宋_GBK" w:hAnsi="Times New Roman" w:cs="方正仿宋_GBK"/>
        </w:rPr>
      </w:pPr>
      <w:bookmarkStart w:id="21" w:name="_Toc170474482"/>
      <w:bookmarkStart w:id="22" w:name="_Toc169774637"/>
      <w:bookmarkStart w:id="23" w:name="_Toc170302015"/>
      <w:r>
        <w:rPr>
          <w:rFonts w:ascii="Times New Roman" w:eastAsia="方正仿宋_GBK" w:hAnsi="Times New Roman" w:cs="方正仿宋_GBK" w:hint="eastAsia"/>
        </w:rPr>
        <w:t>1</w:t>
      </w:r>
      <w:r>
        <w:rPr>
          <w:rFonts w:ascii="Times New Roman" w:eastAsia="方正仿宋_GBK" w:hAnsi="Times New Roman" w:cs="方正仿宋_GBK" w:hint="eastAsia"/>
        </w:rPr>
        <w:t>．职能定位</w:t>
      </w:r>
      <w:bookmarkEnd w:id="21"/>
      <w:bookmarkEnd w:id="22"/>
      <w:bookmarkEnd w:id="23"/>
    </w:p>
    <w:p w:rsidR="001A79DF" w:rsidRDefault="00E70674">
      <w:pPr>
        <w:spacing w:line="560" w:lineRule="exact"/>
        <w:ind w:firstLine="640"/>
        <w:rPr>
          <w:rFonts w:ascii="Times New Roman" w:hAnsi="Times New Roman" w:cs="方正仿宋_GBK"/>
          <w:sz w:val="32"/>
          <w:szCs w:val="32"/>
        </w:rPr>
      </w:pPr>
      <w:r>
        <w:rPr>
          <w:rFonts w:ascii="Times New Roman" w:hAnsi="Times New Roman" w:cs="方正仿宋_GBK" w:hint="eastAsia"/>
          <w:sz w:val="32"/>
          <w:szCs w:val="32"/>
        </w:rPr>
        <w:t>根据有关三定文件，</w:t>
      </w:r>
      <w:proofErr w:type="gramStart"/>
      <w:r>
        <w:rPr>
          <w:rFonts w:ascii="Times New Roman" w:hAnsi="Times New Roman" w:cs="方正仿宋_GBK" w:hint="eastAsia"/>
          <w:sz w:val="32"/>
          <w:szCs w:val="32"/>
        </w:rPr>
        <w:t>市发改委</w:t>
      </w:r>
      <w:proofErr w:type="gramEnd"/>
      <w:r>
        <w:rPr>
          <w:rFonts w:ascii="Times New Roman" w:hAnsi="Times New Roman" w:cs="方正仿宋_GBK" w:hint="eastAsia"/>
          <w:sz w:val="32"/>
          <w:szCs w:val="32"/>
        </w:rPr>
        <w:t>负责贯彻落实党中央关于发展改革工作的方针政策和省委、市委的决策部署，在履行职责过程中坚持和加强党对发展改革工作的集中统一领导，主要包括：拟订实施国民经济和社会发展战略、中长期规划和年度计划；提出加快建设全市现代化经济体系、推动高质量发展的总体目标、重大任务以及相关政策、评估督导，提</w:t>
      </w:r>
      <w:r>
        <w:rPr>
          <w:rFonts w:ascii="Times New Roman" w:hAnsi="Times New Roman" w:cs="方正仿宋_GBK" w:hint="eastAsia"/>
          <w:sz w:val="32"/>
          <w:szCs w:val="32"/>
        </w:rPr>
        <w:lastRenderedPageBreak/>
        <w:t>出调整建议；提出全市国民经济和社会发展主要目标，监测宏观经济和社会发展趋势；指导推进和综合协调全市经济体制改革、供给侧结构性改革等</w:t>
      </w:r>
      <w:r>
        <w:rPr>
          <w:rFonts w:ascii="Times New Roman" w:hAnsi="Times New Roman" w:cs="方正仿宋_GBK" w:hint="eastAsia"/>
          <w:sz w:val="32"/>
          <w:szCs w:val="32"/>
        </w:rPr>
        <w:t>17</w:t>
      </w:r>
      <w:r>
        <w:rPr>
          <w:rFonts w:ascii="Times New Roman" w:hAnsi="Times New Roman" w:cs="方正仿宋_GBK" w:hint="eastAsia"/>
          <w:sz w:val="32"/>
          <w:szCs w:val="32"/>
        </w:rPr>
        <w:t>项职责。</w:t>
      </w:r>
    </w:p>
    <w:p w:rsidR="001A79DF" w:rsidRDefault="00E70674">
      <w:pPr>
        <w:pStyle w:val="3"/>
        <w:spacing w:line="560" w:lineRule="exact"/>
        <w:ind w:firstLine="640"/>
        <w:rPr>
          <w:rFonts w:ascii="Times New Roman" w:eastAsia="方正仿宋_GBK" w:hAnsi="Times New Roman" w:cs="方正仿宋_GBK"/>
        </w:rPr>
      </w:pPr>
      <w:bookmarkStart w:id="24" w:name="_Toc170302016"/>
      <w:bookmarkStart w:id="25" w:name="_Toc169774638"/>
      <w:bookmarkStart w:id="26" w:name="_Toc170474483"/>
      <w:r>
        <w:rPr>
          <w:rFonts w:ascii="Times New Roman" w:eastAsia="方正仿宋_GBK" w:hAnsi="Times New Roman" w:cs="方正仿宋_GBK" w:hint="eastAsia"/>
        </w:rPr>
        <w:t>2</w:t>
      </w:r>
      <w:r>
        <w:rPr>
          <w:rFonts w:ascii="Times New Roman" w:eastAsia="方正仿宋_GBK" w:hAnsi="Times New Roman" w:cs="方正仿宋_GBK" w:hint="eastAsia"/>
        </w:rPr>
        <w:t>．内设机构</w:t>
      </w:r>
      <w:bookmarkEnd w:id="24"/>
      <w:bookmarkEnd w:id="25"/>
      <w:bookmarkEnd w:id="26"/>
      <w:r>
        <w:rPr>
          <w:rFonts w:ascii="Times New Roman" w:eastAsia="方正仿宋_GBK" w:hAnsi="Times New Roman" w:cs="方正仿宋_GBK" w:hint="eastAsia"/>
        </w:rPr>
        <w:t>及人员情况</w:t>
      </w:r>
    </w:p>
    <w:p w:rsidR="001A79DF" w:rsidRDefault="00E70674">
      <w:pPr>
        <w:spacing w:line="560" w:lineRule="exact"/>
        <w:ind w:firstLine="640"/>
        <w:rPr>
          <w:rFonts w:ascii="Times New Roman" w:hAnsi="Times New Roman" w:cs="方正仿宋_GBK"/>
          <w:sz w:val="32"/>
          <w:szCs w:val="32"/>
        </w:rPr>
      </w:pPr>
      <w:r>
        <w:rPr>
          <w:rFonts w:ascii="Times New Roman" w:hAnsi="Times New Roman" w:cs="方正仿宋_GBK" w:hint="eastAsia"/>
          <w:sz w:val="32"/>
          <w:szCs w:val="32"/>
        </w:rPr>
        <w:t>（</w:t>
      </w:r>
      <w:r>
        <w:rPr>
          <w:rFonts w:ascii="Times New Roman" w:hAnsi="Times New Roman" w:cs="方正仿宋_GBK" w:hint="eastAsia"/>
          <w:sz w:val="32"/>
          <w:szCs w:val="32"/>
        </w:rPr>
        <w:t>1</w:t>
      </w:r>
      <w:r>
        <w:rPr>
          <w:rFonts w:ascii="Times New Roman" w:hAnsi="Times New Roman" w:cs="方正仿宋_GBK" w:hint="eastAsia"/>
          <w:sz w:val="32"/>
          <w:szCs w:val="32"/>
        </w:rPr>
        <w:t>）内设机构</w:t>
      </w:r>
    </w:p>
    <w:p w:rsidR="001A79DF" w:rsidRDefault="00E70674">
      <w:pPr>
        <w:spacing w:line="560" w:lineRule="exact"/>
        <w:ind w:firstLine="640"/>
        <w:rPr>
          <w:rFonts w:ascii="Times New Roman" w:hAnsi="Times New Roman" w:cs="方正仿宋_GBK"/>
          <w:sz w:val="32"/>
          <w:szCs w:val="32"/>
        </w:rPr>
      </w:pPr>
      <w:proofErr w:type="gramStart"/>
      <w:r>
        <w:rPr>
          <w:rFonts w:ascii="Times New Roman" w:hAnsi="Times New Roman" w:cs="方正仿宋_GBK" w:hint="eastAsia"/>
          <w:sz w:val="32"/>
          <w:szCs w:val="32"/>
        </w:rPr>
        <w:t>市发改委</w:t>
      </w:r>
      <w:proofErr w:type="gramEnd"/>
      <w:r>
        <w:rPr>
          <w:rFonts w:ascii="Times New Roman" w:hAnsi="Times New Roman" w:cs="方正仿宋_GBK" w:hint="eastAsia"/>
          <w:sz w:val="32"/>
          <w:szCs w:val="32"/>
        </w:rPr>
        <w:t>本级由发展战略和规划处、国民经济综合处、经济体制改革处、固定资产投资处等</w:t>
      </w:r>
      <w:r>
        <w:rPr>
          <w:rFonts w:ascii="Times New Roman" w:hAnsi="Times New Roman" w:cs="方正仿宋_GBK" w:hint="eastAsia"/>
          <w:sz w:val="32"/>
          <w:szCs w:val="32"/>
        </w:rPr>
        <w:t>34</w:t>
      </w:r>
      <w:r>
        <w:rPr>
          <w:rFonts w:ascii="Times New Roman" w:hAnsi="Times New Roman" w:cs="方正仿宋_GBK" w:hint="eastAsia"/>
          <w:sz w:val="32"/>
          <w:szCs w:val="32"/>
        </w:rPr>
        <w:t>个处室组成，另设机关党委、离退休干部处。</w:t>
      </w:r>
    </w:p>
    <w:p w:rsidR="001A79DF" w:rsidRDefault="00E70674">
      <w:pPr>
        <w:spacing w:line="560" w:lineRule="exact"/>
        <w:ind w:firstLine="640"/>
        <w:rPr>
          <w:rFonts w:ascii="Times New Roman" w:hAnsi="Times New Roman" w:cs="方正仿宋_GBK"/>
          <w:sz w:val="32"/>
          <w:szCs w:val="32"/>
        </w:rPr>
      </w:pPr>
      <w:r>
        <w:rPr>
          <w:rFonts w:ascii="Times New Roman" w:hAnsi="Times New Roman" w:cs="方正仿宋_GBK" w:hint="eastAsia"/>
          <w:sz w:val="32"/>
          <w:szCs w:val="32"/>
        </w:rPr>
        <w:t>（</w:t>
      </w:r>
      <w:r>
        <w:rPr>
          <w:rFonts w:ascii="Times New Roman" w:hAnsi="Times New Roman" w:cs="方正仿宋_GBK" w:hint="eastAsia"/>
          <w:sz w:val="32"/>
          <w:szCs w:val="32"/>
        </w:rPr>
        <w:t>2</w:t>
      </w:r>
      <w:r>
        <w:rPr>
          <w:rFonts w:ascii="Times New Roman" w:hAnsi="Times New Roman" w:cs="方正仿宋_GBK" w:hint="eastAsia"/>
          <w:sz w:val="32"/>
          <w:szCs w:val="32"/>
        </w:rPr>
        <w:t>）人员编配</w:t>
      </w:r>
    </w:p>
    <w:p w:rsidR="001A79DF" w:rsidRDefault="00E70674">
      <w:pPr>
        <w:spacing w:line="560" w:lineRule="exact"/>
        <w:ind w:firstLine="640"/>
        <w:rPr>
          <w:rFonts w:ascii="Times New Roman" w:hAnsi="Times New Roman" w:cs="方正仿宋_GBK"/>
          <w:color w:val="0000FF"/>
          <w:sz w:val="32"/>
          <w:szCs w:val="32"/>
        </w:rPr>
      </w:pPr>
      <w:proofErr w:type="gramStart"/>
      <w:r>
        <w:rPr>
          <w:rFonts w:ascii="Times New Roman" w:hAnsi="Times New Roman" w:cs="方正仿宋_GBK" w:hint="eastAsia"/>
          <w:sz w:val="32"/>
          <w:szCs w:val="32"/>
        </w:rPr>
        <w:t>南京市发改委</w:t>
      </w:r>
      <w:proofErr w:type="gramEnd"/>
      <w:r>
        <w:rPr>
          <w:rFonts w:ascii="Times New Roman" w:hAnsi="Times New Roman" w:cs="方正仿宋_GBK" w:hint="eastAsia"/>
          <w:sz w:val="32"/>
          <w:szCs w:val="32"/>
        </w:rPr>
        <w:t>（本级）人员核定行政编制</w:t>
      </w:r>
      <w:r>
        <w:rPr>
          <w:rFonts w:ascii="Times New Roman" w:hAnsi="Times New Roman" w:cs="方正仿宋_GBK" w:hint="eastAsia"/>
          <w:sz w:val="32"/>
          <w:szCs w:val="32"/>
        </w:rPr>
        <w:t>218</w:t>
      </w:r>
      <w:r>
        <w:rPr>
          <w:rFonts w:ascii="Times New Roman" w:hAnsi="Times New Roman" w:cs="方正仿宋_GBK" w:hint="eastAsia"/>
          <w:sz w:val="32"/>
          <w:szCs w:val="32"/>
        </w:rPr>
        <w:t>人，行政附属编制</w:t>
      </w:r>
      <w:r>
        <w:rPr>
          <w:rFonts w:ascii="Times New Roman" w:hAnsi="Times New Roman" w:cs="方正仿宋_GBK" w:hint="eastAsia"/>
          <w:sz w:val="32"/>
          <w:szCs w:val="32"/>
        </w:rPr>
        <w:t>6</w:t>
      </w:r>
      <w:r>
        <w:rPr>
          <w:rFonts w:ascii="Times New Roman" w:hAnsi="Times New Roman" w:cs="方正仿宋_GBK" w:hint="eastAsia"/>
          <w:sz w:val="32"/>
          <w:szCs w:val="32"/>
        </w:rPr>
        <w:t>人。截至</w:t>
      </w:r>
      <w:r>
        <w:rPr>
          <w:rFonts w:ascii="Times New Roman" w:hAnsi="Times New Roman" w:cs="方正仿宋_GBK" w:hint="eastAsia"/>
          <w:sz w:val="32"/>
          <w:szCs w:val="32"/>
        </w:rPr>
        <w:t>2025</w:t>
      </w:r>
      <w:r>
        <w:rPr>
          <w:rFonts w:ascii="Times New Roman" w:hAnsi="Times New Roman" w:cs="方正仿宋_GBK" w:hint="eastAsia"/>
          <w:sz w:val="32"/>
          <w:szCs w:val="32"/>
        </w:rPr>
        <w:t>年底，实际在职机关行政人员</w:t>
      </w:r>
      <w:r>
        <w:rPr>
          <w:rFonts w:ascii="Times New Roman" w:hAnsi="Times New Roman" w:cs="方正仿宋_GBK"/>
          <w:sz w:val="32"/>
          <w:szCs w:val="32"/>
        </w:rPr>
        <w:t>199</w:t>
      </w:r>
      <w:r>
        <w:rPr>
          <w:rFonts w:ascii="Times New Roman" w:hAnsi="Times New Roman" w:cs="方正仿宋_GBK" w:hint="eastAsia"/>
          <w:sz w:val="32"/>
          <w:szCs w:val="32"/>
        </w:rPr>
        <w:t>人，行政附属人员</w:t>
      </w:r>
      <w:r>
        <w:rPr>
          <w:rFonts w:ascii="Times New Roman" w:hAnsi="Times New Roman" w:cs="方正仿宋_GBK"/>
          <w:sz w:val="32"/>
          <w:szCs w:val="32"/>
        </w:rPr>
        <w:t>5</w:t>
      </w:r>
      <w:r>
        <w:rPr>
          <w:rFonts w:ascii="Times New Roman" w:hAnsi="Times New Roman" w:cs="方正仿宋_GBK" w:hint="eastAsia"/>
          <w:sz w:val="32"/>
          <w:szCs w:val="32"/>
        </w:rPr>
        <w:t>人，离退休人员</w:t>
      </w:r>
      <w:r>
        <w:rPr>
          <w:rFonts w:ascii="Times New Roman" w:hAnsi="Times New Roman" w:cs="方正仿宋_GBK" w:hint="eastAsia"/>
          <w:sz w:val="32"/>
          <w:szCs w:val="32"/>
        </w:rPr>
        <w:t>18</w:t>
      </w:r>
      <w:r>
        <w:rPr>
          <w:rFonts w:ascii="Times New Roman" w:hAnsi="Times New Roman" w:cs="方正仿宋_GBK"/>
          <w:sz w:val="32"/>
          <w:szCs w:val="32"/>
        </w:rPr>
        <w:t>7</w:t>
      </w:r>
      <w:r>
        <w:rPr>
          <w:rFonts w:ascii="Times New Roman" w:hAnsi="Times New Roman" w:cs="方正仿宋_GBK" w:hint="eastAsia"/>
          <w:sz w:val="32"/>
          <w:szCs w:val="32"/>
        </w:rPr>
        <w:t>人。</w:t>
      </w:r>
    </w:p>
    <w:bookmarkEnd w:id="11"/>
    <w:bookmarkEnd w:id="12"/>
    <w:bookmarkEnd w:id="13"/>
    <w:bookmarkEnd w:id="14"/>
    <w:bookmarkEnd w:id="15"/>
    <w:bookmarkEnd w:id="16"/>
    <w:bookmarkEnd w:id="17"/>
    <w:bookmarkEnd w:id="18"/>
    <w:bookmarkEnd w:id="19"/>
    <w:p w:rsidR="001A79DF" w:rsidRDefault="00E70674">
      <w:pPr>
        <w:pStyle w:val="3"/>
        <w:spacing w:line="560" w:lineRule="exact"/>
        <w:ind w:firstLine="640"/>
        <w:rPr>
          <w:rFonts w:ascii="Times New Roman" w:eastAsia="方正仿宋_GBK" w:hAnsi="Times New Roman" w:cs="方正仿宋_GBK"/>
        </w:rPr>
      </w:pPr>
      <w:r>
        <w:rPr>
          <w:rFonts w:ascii="Times New Roman" w:eastAsia="方正仿宋_GBK" w:hAnsi="Times New Roman" w:cs="方正仿宋_GBK"/>
        </w:rPr>
        <w:t>3</w:t>
      </w:r>
      <w:r>
        <w:rPr>
          <w:rFonts w:ascii="Times New Roman" w:eastAsia="方正仿宋_GBK" w:hAnsi="Times New Roman" w:cs="方正仿宋_GBK" w:hint="eastAsia"/>
        </w:rPr>
        <w:t>．</w:t>
      </w:r>
      <w:r>
        <w:rPr>
          <w:rFonts w:ascii="Times New Roman" w:eastAsia="方正仿宋_GBK" w:hAnsi="Times New Roman" w:cs="方正仿宋_GBK"/>
        </w:rPr>
        <w:t>资产和负债情况</w:t>
      </w:r>
    </w:p>
    <w:p w:rsidR="001A79DF" w:rsidRDefault="00E70674">
      <w:pPr>
        <w:spacing w:line="560" w:lineRule="exact"/>
        <w:ind w:firstLine="640"/>
        <w:rPr>
          <w:rFonts w:ascii="Times New Roman" w:hAnsi="Times New Roman" w:cs="方正仿宋_GBK"/>
          <w:bCs/>
          <w:sz w:val="32"/>
          <w:szCs w:val="32"/>
        </w:rPr>
      </w:pPr>
      <w:r>
        <w:rPr>
          <w:sz w:val="32"/>
          <w:szCs w:val="32"/>
        </w:rPr>
        <w:t>截至</w:t>
      </w:r>
      <w:r>
        <w:rPr>
          <w:rFonts w:hint="eastAsia"/>
          <w:sz w:val="32"/>
          <w:szCs w:val="32"/>
        </w:rPr>
        <w:t>2025</w:t>
      </w:r>
      <w:r>
        <w:rPr>
          <w:rFonts w:hint="eastAsia"/>
          <w:sz w:val="32"/>
          <w:szCs w:val="32"/>
        </w:rPr>
        <w:t>年</w:t>
      </w:r>
      <w:r>
        <w:rPr>
          <w:rFonts w:hint="eastAsia"/>
          <w:sz w:val="32"/>
          <w:szCs w:val="32"/>
        </w:rPr>
        <w:t>12</w:t>
      </w:r>
      <w:r>
        <w:rPr>
          <w:rFonts w:hint="eastAsia"/>
          <w:sz w:val="32"/>
          <w:szCs w:val="32"/>
        </w:rPr>
        <w:t>月</w:t>
      </w:r>
      <w:r>
        <w:rPr>
          <w:rFonts w:hint="eastAsia"/>
          <w:sz w:val="32"/>
          <w:szCs w:val="32"/>
        </w:rPr>
        <w:t>31</w:t>
      </w:r>
      <w:r>
        <w:rPr>
          <w:rFonts w:hint="eastAsia"/>
          <w:sz w:val="32"/>
          <w:szCs w:val="32"/>
        </w:rPr>
        <w:t>日，资产总计</w:t>
      </w:r>
      <w:r>
        <w:rPr>
          <w:sz w:val="32"/>
          <w:szCs w:val="32"/>
        </w:rPr>
        <w:t>8259</w:t>
      </w:r>
      <w:r>
        <w:rPr>
          <w:rFonts w:hint="eastAsia"/>
          <w:sz w:val="32"/>
          <w:szCs w:val="32"/>
        </w:rPr>
        <w:t>.</w:t>
      </w:r>
      <w:r>
        <w:rPr>
          <w:sz w:val="32"/>
          <w:szCs w:val="32"/>
        </w:rPr>
        <w:t>56</w:t>
      </w:r>
      <w:r>
        <w:rPr>
          <w:rFonts w:hint="eastAsia"/>
          <w:sz w:val="32"/>
          <w:szCs w:val="32"/>
        </w:rPr>
        <w:t>万</w:t>
      </w:r>
      <w:r>
        <w:rPr>
          <w:sz w:val="32"/>
          <w:szCs w:val="32"/>
        </w:rPr>
        <w:t>元，</w:t>
      </w:r>
      <w:r>
        <w:rPr>
          <w:rFonts w:hint="eastAsia"/>
          <w:sz w:val="32"/>
          <w:szCs w:val="32"/>
        </w:rPr>
        <w:t>包括</w:t>
      </w:r>
      <w:r>
        <w:rPr>
          <w:sz w:val="32"/>
          <w:szCs w:val="32"/>
        </w:rPr>
        <w:t>流动资产</w:t>
      </w:r>
      <w:r>
        <w:rPr>
          <w:sz w:val="32"/>
          <w:szCs w:val="32"/>
        </w:rPr>
        <w:t>593</w:t>
      </w:r>
      <w:r>
        <w:rPr>
          <w:rFonts w:hint="eastAsia"/>
          <w:sz w:val="32"/>
          <w:szCs w:val="32"/>
        </w:rPr>
        <w:t>.</w:t>
      </w:r>
      <w:r>
        <w:rPr>
          <w:sz w:val="32"/>
          <w:szCs w:val="32"/>
        </w:rPr>
        <w:t>65</w:t>
      </w:r>
      <w:r>
        <w:rPr>
          <w:rFonts w:hint="eastAsia"/>
          <w:sz w:val="32"/>
          <w:szCs w:val="32"/>
        </w:rPr>
        <w:t>万</w:t>
      </w:r>
      <w:r>
        <w:rPr>
          <w:sz w:val="32"/>
          <w:szCs w:val="32"/>
        </w:rPr>
        <w:t>元，固定资产净值</w:t>
      </w:r>
      <w:r>
        <w:rPr>
          <w:sz w:val="32"/>
          <w:szCs w:val="32"/>
        </w:rPr>
        <w:t>358</w:t>
      </w:r>
      <w:r>
        <w:rPr>
          <w:rFonts w:hint="eastAsia"/>
          <w:sz w:val="32"/>
          <w:szCs w:val="32"/>
        </w:rPr>
        <w:t>.</w:t>
      </w:r>
      <w:r>
        <w:rPr>
          <w:sz w:val="32"/>
          <w:szCs w:val="32"/>
        </w:rPr>
        <w:t>9</w:t>
      </w:r>
      <w:r>
        <w:rPr>
          <w:rFonts w:hint="eastAsia"/>
          <w:sz w:val="32"/>
          <w:szCs w:val="32"/>
        </w:rPr>
        <w:t>4</w:t>
      </w:r>
      <w:r>
        <w:rPr>
          <w:rFonts w:hint="eastAsia"/>
          <w:sz w:val="32"/>
          <w:szCs w:val="32"/>
        </w:rPr>
        <w:t>万</w:t>
      </w:r>
      <w:r>
        <w:rPr>
          <w:sz w:val="32"/>
          <w:szCs w:val="32"/>
        </w:rPr>
        <w:t>元（</w:t>
      </w:r>
      <w:r>
        <w:rPr>
          <w:rFonts w:hint="eastAsia"/>
          <w:sz w:val="32"/>
          <w:szCs w:val="32"/>
        </w:rPr>
        <w:t>房屋和构筑物</w:t>
      </w:r>
      <w:r>
        <w:rPr>
          <w:rFonts w:hint="eastAsia"/>
          <w:sz w:val="32"/>
          <w:szCs w:val="32"/>
        </w:rPr>
        <w:t>133.83</w:t>
      </w:r>
      <w:bookmarkStart w:id="27" w:name="OLE_LINK3"/>
      <w:bookmarkStart w:id="28" w:name="OLE_LINK4"/>
      <w:r>
        <w:rPr>
          <w:rFonts w:hint="eastAsia"/>
          <w:sz w:val="32"/>
          <w:szCs w:val="32"/>
        </w:rPr>
        <w:t>万</w:t>
      </w:r>
      <w:r>
        <w:rPr>
          <w:sz w:val="32"/>
          <w:szCs w:val="32"/>
        </w:rPr>
        <w:t>元</w:t>
      </w:r>
      <w:r>
        <w:rPr>
          <w:rFonts w:hint="eastAsia"/>
          <w:sz w:val="32"/>
          <w:szCs w:val="32"/>
        </w:rPr>
        <w:t>、设备</w:t>
      </w:r>
      <w:bookmarkEnd w:id="27"/>
      <w:bookmarkEnd w:id="28"/>
      <w:r>
        <w:rPr>
          <w:rFonts w:hint="eastAsia"/>
          <w:sz w:val="32"/>
          <w:szCs w:val="32"/>
        </w:rPr>
        <w:t>114.3</w:t>
      </w:r>
      <w:r>
        <w:rPr>
          <w:rFonts w:hint="eastAsia"/>
          <w:sz w:val="32"/>
          <w:szCs w:val="32"/>
        </w:rPr>
        <w:t>万</w:t>
      </w:r>
      <w:r>
        <w:rPr>
          <w:sz w:val="32"/>
          <w:szCs w:val="32"/>
        </w:rPr>
        <w:t>元</w:t>
      </w:r>
      <w:r>
        <w:rPr>
          <w:rFonts w:hint="eastAsia"/>
          <w:sz w:val="32"/>
          <w:szCs w:val="32"/>
        </w:rPr>
        <w:t>、家具和用具</w:t>
      </w:r>
      <w:r>
        <w:rPr>
          <w:rFonts w:hint="eastAsia"/>
          <w:sz w:val="32"/>
          <w:szCs w:val="32"/>
        </w:rPr>
        <w:t>110.81</w:t>
      </w:r>
      <w:r>
        <w:rPr>
          <w:rFonts w:hint="eastAsia"/>
          <w:sz w:val="32"/>
          <w:szCs w:val="32"/>
        </w:rPr>
        <w:t>万</w:t>
      </w:r>
      <w:r>
        <w:rPr>
          <w:sz w:val="32"/>
          <w:szCs w:val="32"/>
        </w:rPr>
        <w:t>元</w:t>
      </w:r>
      <w:r>
        <w:rPr>
          <w:rFonts w:hint="eastAsia"/>
          <w:sz w:val="32"/>
          <w:szCs w:val="32"/>
        </w:rPr>
        <w:t>）</w:t>
      </w:r>
      <w:r>
        <w:rPr>
          <w:sz w:val="32"/>
          <w:szCs w:val="32"/>
        </w:rPr>
        <w:t>，无形资产</w:t>
      </w:r>
      <w:r>
        <w:rPr>
          <w:rFonts w:hint="eastAsia"/>
          <w:sz w:val="32"/>
          <w:szCs w:val="32"/>
        </w:rPr>
        <w:t>净</w:t>
      </w:r>
      <w:r>
        <w:rPr>
          <w:sz w:val="32"/>
          <w:szCs w:val="32"/>
        </w:rPr>
        <w:t>值</w:t>
      </w:r>
      <w:r>
        <w:rPr>
          <w:sz w:val="32"/>
          <w:szCs w:val="32"/>
        </w:rPr>
        <w:t>1558</w:t>
      </w:r>
      <w:r>
        <w:rPr>
          <w:rFonts w:hint="eastAsia"/>
          <w:sz w:val="32"/>
          <w:szCs w:val="32"/>
        </w:rPr>
        <w:t>.</w:t>
      </w:r>
      <w:r>
        <w:rPr>
          <w:sz w:val="32"/>
          <w:szCs w:val="32"/>
        </w:rPr>
        <w:t>78</w:t>
      </w:r>
      <w:r>
        <w:rPr>
          <w:rFonts w:hint="eastAsia"/>
          <w:sz w:val="32"/>
          <w:szCs w:val="32"/>
        </w:rPr>
        <w:t>万</w:t>
      </w:r>
      <w:r>
        <w:rPr>
          <w:sz w:val="32"/>
          <w:szCs w:val="32"/>
        </w:rPr>
        <w:t>元，</w:t>
      </w:r>
      <w:r>
        <w:rPr>
          <w:rFonts w:hint="eastAsia"/>
          <w:sz w:val="32"/>
          <w:szCs w:val="32"/>
        </w:rPr>
        <w:t>政府储备物资</w:t>
      </w:r>
      <w:r>
        <w:rPr>
          <w:sz w:val="32"/>
          <w:szCs w:val="32"/>
        </w:rPr>
        <w:t>5748</w:t>
      </w:r>
      <w:r>
        <w:rPr>
          <w:rFonts w:hint="eastAsia"/>
          <w:sz w:val="32"/>
          <w:szCs w:val="32"/>
        </w:rPr>
        <w:t>.</w:t>
      </w:r>
      <w:r>
        <w:rPr>
          <w:sz w:val="32"/>
          <w:szCs w:val="32"/>
        </w:rPr>
        <w:t>1</w:t>
      </w:r>
      <w:r>
        <w:rPr>
          <w:rFonts w:hint="eastAsia"/>
          <w:sz w:val="32"/>
          <w:szCs w:val="32"/>
        </w:rPr>
        <w:t>9</w:t>
      </w:r>
      <w:r>
        <w:rPr>
          <w:rFonts w:hint="eastAsia"/>
          <w:sz w:val="32"/>
          <w:szCs w:val="32"/>
        </w:rPr>
        <w:t>万元。负债总计</w:t>
      </w:r>
      <w:r>
        <w:rPr>
          <w:sz w:val="32"/>
          <w:szCs w:val="32"/>
        </w:rPr>
        <w:t>351</w:t>
      </w:r>
      <w:r>
        <w:rPr>
          <w:rFonts w:hint="eastAsia"/>
          <w:sz w:val="32"/>
          <w:szCs w:val="32"/>
        </w:rPr>
        <w:t>.</w:t>
      </w:r>
      <w:r>
        <w:rPr>
          <w:sz w:val="32"/>
          <w:szCs w:val="32"/>
        </w:rPr>
        <w:t>72</w:t>
      </w:r>
      <w:r>
        <w:rPr>
          <w:sz w:val="32"/>
          <w:szCs w:val="32"/>
        </w:rPr>
        <w:t>万元，</w:t>
      </w:r>
      <w:r>
        <w:rPr>
          <w:rFonts w:hint="eastAsia"/>
          <w:sz w:val="32"/>
          <w:szCs w:val="32"/>
        </w:rPr>
        <w:t>净资产总计</w:t>
      </w:r>
      <w:r>
        <w:rPr>
          <w:sz w:val="32"/>
          <w:szCs w:val="32"/>
        </w:rPr>
        <w:t>7907</w:t>
      </w:r>
      <w:r>
        <w:rPr>
          <w:rFonts w:hint="eastAsia"/>
          <w:sz w:val="32"/>
          <w:szCs w:val="32"/>
        </w:rPr>
        <w:t>.</w:t>
      </w:r>
      <w:r>
        <w:rPr>
          <w:sz w:val="32"/>
          <w:szCs w:val="32"/>
        </w:rPr>
        <w:t>84</w:t>
      </w:r>
      <w:r>
        <w:rPr>
          <w:sz w:val="32"/>
          <w:szCs w:val="32"/>
        </w:rPr>
        <w:t>万元。</w:t>
      </w:r>
    </w:p>
    <w:p w:rsidR="001A79DF" w:rsidRDefault="00E70674">
      <w:pPr>
        <w:pStyle w:val="3"/>
        <w:spacing w:line="560" w:lineRule="exact"/>
        <w:ind w:firstLine="640"/>
        <w:rPr>
          <w:rFonts w:ascii="Times New Roman" w:eastAsia="方正仿宋_GBK" w:hAnsi="Times New Roman" w:cs="方正仿宋_GBK"/>
        </w:rPr>
      </w:pPr>
      <w:r>
        <w:rPr>
          <w:rFonts w:ascii="Times New Roman" w:eastAsia="方正仿宋_GBK" w:hAnsi="Times New Roman" w:cs="方正仿宋_GBK"/>
        </w:rPr>
        <w:t>4</w:t>
      </w:r>
      <w:r>
        <w:rPr>
          <w:rFonts w:ascii="Times New Roman" w:eastAsia="方正仿宋_GBK" w:hAnsi="Times New Roman" w:cs="方正仿宋_GBK" w:hint="eastAsia"/>
        </w:rPr>
        <w:t>．</w:t>
      </w:r>
      <w:r>
        <w:rPr>
          <w:rFonts w:ascii="Times New Roman" w:eastAsia="方正仿宋_GBK" w:hAnsi="Times New Roman" w:cs="方正仿宋_GBK"/>
        </w:rPr>
        <w:t>年度主要工作任务</w:t>
      </w:r>
    </w:p>
    <w:p w:rsidR="001A79DF" w:rsidRDefault="00E70674">
      <w:pPr>
        <w:spacing w:line="560" w:lineRule="exact"/>
        <w:ind w:firstLine="640"/>
        <w:rPr>
          <w:rFonts w:ascii="Times New Roman" w:hAnsi="Times New Roman" w:cs="方正仿宋_GBK"/>
          <w:sz w:val="32"/>
          <w:szCs w:val="32"/>
        </w:rPr>
      </w:pPr>
      <w:r>
        <w:rPr>
          <w:rFonts w:ascii="Times New Roman" w:hAnsi="Times New Roman" w:cs="方正仿宋_GBK"/>
          <w:sz w:val="32"/>
          <w:szCs w:val="32"/>
        </w:rPr>
        <w:t>根据《</w:t>
      </w:r>
      <w:r>
        <w:rPr>
          <w:rFonts w:ascii="Times New Roman" w:hAnsi="Times New Roman" w:cs="方正仿宋_GBK" w:hint="eastAsia"/>
          <w:sz w:val="32"/>
          <w:szCs w:val="32"/>
        </w:rPr>
        <w:t>南京市发展和改革委员会</w:t>
      </w:r>
      <w:r>
        <w:rPr>
          <w:rFonts w:ascii="Times New Roman" w:hAnsi="Times New Roman" w:cs="方正仿宋_GBK" w:hint="eastAsia"/>
          <w:sz w:val="32"/>
          <w:szCs w:val="32"/>
        </w:rPr>
        <w:t>2025</w:t>
      </w:r>
      <w:r>
        <w:rPr>
          <w:rFonts w:ascii="Times New Roman" w:hAnsi="Times New Roman" w:cs="方正仿宋_GBK" w:hint="eastAsia"/>
          <w:sz w:val="32"/>
          <w:szCs w:val="32"/>
        </w:rPr>
        <w:t>年工作要点</w:t>
      </w:r>
      <w:r>
        <w:rPr>
          <w:rFonts w:ascii="Times New Roman" w:hAnsi="Times New Roman" w:cs="方正仿宋_GBK"/>
          <w:sz w:val="32"/>
          <w:szCs w:val="32"/>
        </w:rPr>
        <w:t>》等有关文件，</w:t>
      </w:r>
      <w:r>
        <w:rPr>
          <w:rFonts w:ascii="Times New Roman" w:hAnsi="Times New Roman" w:cs="方正仿宋_GBK"/>
          <w:sz w:val="32"/>
          <w:szCs w:val="32"/>
        </w:rPr>
        <w:t>2025</w:t>
      </w:r>
      <w:r>
        <w:rPr>
          <w:rFonts w:ascii="Times New Roman" w:hAnsi="Times New Roman" w:cs="方正仿宋_GBK"/>
          <w:sz w:val="32"/>
          <w:szCs w:val="32"/>
        </w:rPr>
        <w:t>年度</w:t>
      </w:r>
      <w:proofErr w:type="gramStart"/>
      <w:r>
        <w:rPr>
          <w:rFonts w:ascii="Times New Roman" w:hAnsi="Times New Roman" w:cs="方正仿宋_GBK"/>
          <w:sz w:val="32"/>
          <w:szCs w:val="32"/>
        </w:rPr>
        <w:t>南京市发改委</w:t>
      </w:r>
      <w:proofErr w:type="gramEnd"/>
      <w:r>
        <w:rPr>
          <w:rFonts w:ascii="Times New Roman" w:hAnsi="Times New Roman" w:cs="方正仿宋_GBK"/>
          <w:sz w:val="32"/>
          <w:szCs w:val="32"/>
        </w:rPr>
        <w:t>工作要点主要包括</w:t>
      </w:r>
      <w:r>
        <w:rPr>
          <w:rFonts w:ascii="Times New Roman" w:hAnsi="Times New Roman" w:cs="方正仿宋_GBK" w:hint="eastAsia"/>
          <w:sz w:val="32"/>
          <w:szCs w:val="32"/>
        </w:rPr>
        <w:t>9</w:t>
      </w:r>
      <w:r>
        <w:rPr>
          <w:rFonts w:ascii="Times New Roman" w:hAnsi="Times New Roman" w:cs="方正仿宋_GBK"/>
          <w:sz w:val="32"/>
          <w:szCs w:val="32"/>
        </w:rPr>
        <w:t>个方面</w:t>
      </w:r>
      <w:r>
        <w:rPr>
          <w:rFonts w:ascii="Times New Roman" w:hAnsi="Times New Roman" w:cs="方正仿宋_GBK" w:hint="eastAsia"/>
          <w:sz w:val="32"/>
          <w:szCs w:val="32"/>
        </w:rPr>
        <w:t>，具体内容见下表：</w:t>
      </w:r>
    </w:p>
    <w:p w:rsidR="001A79DF" w:rsidRDefault="00E70674">
      <w:pPr>
        <w:pStyle w:val="a9"/>
        <w:spacing w:line="560" w:lineRule="exact"/>
        <w:ind w:leftChars="0" w:left="0" w:firstLineChars="0" w:firstLine="0"/>
        <w:jc w:val="center"/>
        <w:rPr>
          <w:rFonts w:eastAsia="方正黑体_GBK" w:cs="方正黑体_GBK"/>
          <w:szCs w:val="28"/>
        </w:rPr>
      </w:pPr>
      <w:r>
        <w:rPr>
          <w:rFonts w:eastAsia="方正黑体_GBK" w:cs="方正黑体_GBK" w:hint="eastAsia"/>
          <w:szCs w:val="28"/>
        </w:rPr>
        <w:t>表</w:t>
      </w:r>
      <w:r>
        <w:rPr>
          <w:rFonts w:eastAsia="方正黑体_GBK" w:cs="方正黑体_GBK" w:hint="eastAsia"/>
          <w:szCs w:val="28"/>
        </w:rPr>
        <w:t>1  202</w:t>
      </w:r>
      <w:r>
        <w:rPr>
          <w:rFonts w:eastAsia="方正黑体_GBK" w:cs="方正黑体_GBK"/>
          <w:szCs w:val="28"/>
        </w:rPr>
        <w:t>5</w:t>
      </w:r>
      <w:r>
        <w:rPr>
          <w:rFonts w:eastAsia="方正黑体_GBK" w:cs="方正黑体_GBK" w:hint="eastAsia"/>
          <w:szCs w:val="28"/>
        </w:rPr>
        <w:t>年度</w:t>
      </w:r>
      <w:proofErr w:type="gramStart"/>
      <w:r>
        <w:rPr>
          <w:rFonts w:eastAsia="方正黑体_GBK" w:cs="方正黑体_GBK" w:hint="eastAsia"/>
          <w:szCs w:val="28"/>
        </w:rPr>
        <w:t>南京市发改委</w:t>
      </w:r>
      <w:proofErr w:type="gramEnd"/>
      <w:r>
        <w:rPr>
          <w:rFonts w:eastAsia="方正黑体_GBK" w:cs="方正黑体_GBK" w:hint="eastAsia"/>
          <w:szCs w:val="28"/>
        </w:rPr>
        <w:t>主要工作内容一览表</w:t>
      </w:r>
    </w:p>
    <w:tbl>
      <w:tblPr>
        <w:tblW w:w="5000" w:type="pct"/>
        <w:tblLayout w:type="fixed"/>
        <w:tblLook w:val="04A0" w:firstRow="1" w:lastRow="0" w:firstColumn="1" w:lastColumn="0" w:noHBand="0" w:noVBand="1"/>
      </w:tblPr>
      <w:tblGrid>
        <w:gridCol w:w="641"/>
        <w:gridCol w:w="1839"/>
        <w:gridCol w:w="6042"/>
      </w:tblGrid>
      <w:tr w:rsidR="001A79DF">
        <w:trPr>
          <w:trHeight w:val="23"/>
        </w:trPr>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eastAsia="方正黑体_GBK" w:hAnsi="Times New Roman" w:cs="方正黑体_GBK"/>
                <w:color w:val="000000"/>
                <w:sz w:val="21"/>
                <w:szCs w:val="21"/>
              </w:rPr>
            </w:pPr>
            <w:r>
              <w:rPr>
                <w:rFonts w:ascii="Times New Roman" w:eastAsia="方正黑体_GBK" w:hAnsi="Times New Roman" w:cs="方正黑体_GBK" w:hint="eastAsia"/>
                <w:color w:val="000000"/>
                <w:kern w:val="0"/>
                <w:sz w:val="21"/>
                <w:szCs w:val="21"/>
                <w:lang w:bidi="ar"/>
              </w:rPr>
              <w:t>序号</w:t>
            </w:r>
          </w:p>
        </w:tc>
        <w:tc>
          <w:tcPr>
            <w:tcW w:w="10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eastAsia="方正黑体_GBK" w:hAnsi="Times New Roman" w:cs="方正黑体_GBK"/>
                <w:color w:val="000000"/>
                <w:sz w:val="21"/>
                <w:szCs w:val="21"/>
              </w:rPr>
            </w:pPr>
            <w:r>
              <w:rPr>
                <w:rFonts w:ascii="Times New Roman" w:eastAsia="方正黑体_GBK" w:hAnsi="Times New Roman" w:cs="方正黑体_GBK" w:hint="eastAsia"/>
                <w:color w:val="000000"/>
                <w:kern w:val="0"/>
                <w:sz w:val="21"/>
                <w:szCs w:val="21"/>
                <w:lang w:bidi="ar"/>
              </w:rPr>
              <w:t>要点</w:t>
            </w:r>
          </w:p>
        </w:tc>
        <w:tc>
          <w:tcPr>
            <w:tcW w:w="35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eastAsia="方正黑体_GBK" w:hAnsi="Times New Roman" w:cs="方正黑体_GBK"/>
                <w:color w:val="000000"/>
                <w:sz w:val="21"/>
                <w:szCs w:val="21"/>
              </w:rPr>
            </w:pPr>
            <w:r>
              <w:rPr>
                <w:rFonts w:ascii="Times New Roman" w:eastAsia="方正黑体_GBK" w:hAnsi="Times New Roman" w:cs="方正黑体_GBK" w:hint="eastAsia"/>
                <w:color w:val="000000"/>
                <w:kern w:val="0"/>
                <w:sz w:val="21"/>
                <w:szCs w:val="21"/>
                <w:lang w:bidi="ar"/>
              </w:rPr>
              <w:t>内容</w:t>
            </w:r>
          </w:p>
        </w:tc>
      </w:tr>
      <w:tr w:rsidR="001A79DF">
        <w:trPr>
          <w:trHeight w:val="23"/>
        </w:trPr>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sz w:val="21"/>
                <w:szCs w:val="21"/>
              </w:rPr>
            </w:pPr>
            <w:r>
              <w:rPr>
                <w:rFonts w:ascii="Times New Roman" w:hAnsi="Times New Roman" w:cs="方正仿宋_GBK" w:hint="eastAsia"/>
                <w:color w:val="000000"/>
                <w:kern w:val="0"/>
                <w:sz w:val="21"/>
                <w:szCs w:val="21"/>
                <w:lang w:bidi="ar"/>
              </w:rPr>
              <w:lastRenderedPageBreak/>
              <w:t>1</w:t>
            </w:r>
          </w:p>
        </w:tc>
        <w:tc>
          <w:tcPr>
            <w:tcW w:w="10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sz w:val="21"/>
                <w:szCs w:val="21"/>
              </w:rPr>
            </w:pPr>
            <w:r>
              <w:rPr>
                <w:rFonts w:ascii="方正仿宋_GBK" w:hAnsi="方正仿宋_GBK" w:cs="方正仿宋_GBK" w:hint="eastAsia"/>
                <w:sz w:val="21"/>
                <w:szCs w:val="21"/>
              </w:rPr>
              <w:t>强化规划引领与政策落地</w:t>
            </w:r>
          </w:p>
        </w:tc>
        <w:tc>
          <w:tcPr>
            <w:tcW w:w="35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left"/>
              <w:textAlignment w:val="center"/>
              <w:rPr>
                <w:rFonts w:ascii="Times New Roman" w:hAnsi="Times New Roman" w:cs="方正仿宋_GBK"/>
                <w:color w:val="000000"/>
                <w:sz w:val="21"/>
                <w:szCs w:val="21"/>
              </w:rPr>
            </w:pPr>
            <w:r>
              <w:rPr>
                <w:rFonts w:ascii="Times New Roman" w:hAnsi="Times New Roman" w:cs="方正仿宋_GBK" w:hint="eastAsia"/>
                <w:color w:val="000000"/>
                <w:sz w:val="21"/>
                <w:szCs w:val="21"/>
              </w:rPr>
              <w:t>完善“十四五”评估，编制“十五五”规划《纲要》。做好年度计划编制与目标分解，强化经济形势</w:t>
            </w:r>
            <w:proofErr w:type="gramStart"/>
            <w:r>
              <w:rPr>
                <w:rFonts w:ascii="Times New Roman" w:hAnsi="Times New Roman" w:cs="方正仿宋_GBK" w:hint="eastAsia"/>
                <w:color w:val="000000"/>
                <w:sz w:val="21"/>
                <w:szCs w:val="21"/>
              </w:rPr>
              <w:t>研</w:t>
            </w:r>
            <w:proofErr w:type="gramEnd"/>
            <w:r>
              <w:rPr>
                <w:rFonts w:ascii="Times New Roman" w:hAnsi="Times New Roman" w:cs="方正仿宋_GBK" w:hint="eastAsia"/>
                <w:color w:val="000000"/>
                <w:sz w:val="21"/>
                <w:szCs w:val="21"/>
              </w:rPr>
              <w:t>判与风险预警。推动国家、省、市一揽子增量政策落地见效，持续评估优化，确保政策精准发力。</w:t>
            </w:r>
          </w:p>
        </w:tc>
      </w:tr>
      <w:tr w:rsidR="001A79DF">
        <w:trPr>
          <w:trHeight w:val="23"/>
        </w:trPr>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sz w:val="21"/>
                <w:szCs w:val="21"/>
              </w:rPr>
            </w:pPr>
            <w:r>
              <w:rPr>
                <w:rFonts w:ascii="Times New Roman" w:hAnsi="Times New Roman" w:cs="方正仿宋_GBK" w:hint="eastAsia"/>
                <w:color w:val="000000"/>
                <w:kern w:val="0"/>
                <w:sz w:val="21"/>
                <w:szCs w:val="21"/>
                <w:lang w:bidi="ar"/>
              </w:rPr>
              <w:t>2</w:t>
            </w:r>
          </w:p>
        </w:tc>
        <w:tc>
          <w:tcPr>
            <w:tcW w:w="10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sz w:val="21"/>
                <w:szCs w:val="21"/>
              </w:rPr>
            </w:pPr>
            <w:r>
              <w:rPr>
                <w:rFonts w:ascii="方正仿宋_GBK" w:hAnsi="方正仿宋_GBK" w:cs="方正仿宋_GBK" w:hint="eastAsia"/>
                <w:sz w:val="21"/>
                <w:szCs w:val="21"/>
              </w:rPr>
              <w:t>抓</w:t>
            </w:r>
            <w:proofErr w:type="gramStart"/>
            <w:r>
              <w:rPr>
                <w:rFonts w:ascii="方正仿宋_GBK" w:hAnsi="方正仿宋_GBK" w:cs="方正仿宋_GBK" w:hint="eastAsia"/>
                <w:sz w:val="21"/>
                <w:szCs w:val="21"/>
              </w:rPr>
              <w:t>实项目</w:t>
            </w:r>
            <w:proofErr w:type="gramEnd"/>
            <w:r>
              <w:rPr>
                <w:rFonts w:ascii="方正仿宋_GBK" w:hAnsi="方正仿宋_GBK" w:cs="方正仿宋_GBK" w:hint="eastAsia"/>
                <w:sz w:val="21"/>
                <w:szCs w:val="21"/>
              </w:rPr>
              <w:t>投资提升支撑力</w:t>
            </w:r>
          </w:p>
        </w:tc>
        <w:tc>
          <w:tcPr>
            <w:tcW w:w="35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left"/>
              <w:textAlignment w:val="center"/>
              <w:rPr>
                <w:rFonts w:ascii="Times New Roman" w:hAnsi="Times New Roman" w:cs="方正仿宋_GBK"/>
                <w:color w:val="000000"/>
                <w:sz w:val="21"/>
                <w:szCs w:val="21"/>
              </w:rPr>
            </w:pPr>
            <w:r>
              <w:rPr>
                <w:rFonts w:ascii="Times New Roman" w:hAnsi="Times New Roman" w:cs="方正仿宋_GBK" w:hint="eastAsia"/>
                <w:color w:val="000000"/>
                <w:sz w:val="21"/>
                <w:szCs w:val="21"/>
              </w:rPr>
              <w:t>推动政府投资项目开工与前期手续办理，挖掘投资增量。锚定省市重大项目开工目标，建立市领导挂钩机制，破解要素障碍。争取超长期国债、专项债等资金，提速项目建设，推进</w:t>
            </w:r>
            <w:r>
              <w:rPr>
                <w:rFonts w:ascii="Times New Roman" w:hAnsi="Times New Roman" w:cs="方正仿宋_GBK" w:hint="eastAsia"/>
                <w:color w:val="000000"/>
                <w:sz w:val="21"/>
                <w:szCs w:val="21"/>
              </w:rPr>
              <w:t>REITs</w:t>
            </w:r>
            <w:r>
              <w:rPr>
                <w:rFonts w:ascii="Times New Roman" w:hAnsi="Times New Roman" w:cs="方正仿宋_GBK" w:hint="eastAsia"/>
                <w:color w:val="000000"/>
                <w:sz w:val="21"/>
                <w:szCs w:val="21"/>
              </w:rPr>
              <w:t>与产业基金集群发展。</w:t>
            </w:r>
          </w:p>
        </w:tc>
      </w:tr>
      <w:tr w:rsidR="001A79DF">
        <w:trPr>
          <w:trHeight w:val="23"/>
        </w:trPr>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sz w:val="21"/>
                <w:szCs w:val="21"/>
              </w:rPr>
            </w:pPr>
            <w:r>
              <w:rPr>
                <w:rFonts w:ascii="Times New Roman" w:hAnsi="Times New Roman" w:cs="方正仿宋_GBK" w:hint="eastAsia"/>
                <w:color w:val="000000"/>
                <w:kern w:val="0"/>
                <w:sz w:val="21"/>
                <w:szCs w:val="21"/>
                <w:lang w:bidi="ar"/>
              </w:rPr>
              <w:t>3</w:t>
            </w:r>
          </w:p>
        </w:tc>
        <w:tc>
          <w:tcPr>
            <w:tcW w:w="10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sz w:val="21"/>
                <w:szCs w:val="21"/>
              </w:rPr>
            </w:pPr>
            <w:r>
              <w:rPr>
                <w:rFonts w:ascii="方正仿宋_GBK" w:hAnsi="方正仿宋_GBK" w:cs="方正仿宋_GBK" w:hint="eastAsia"/>
                <w:sz w:val="21"/>
                <w:szCs w:val="21"/>
              </w:rPr>
              <w:t>提升产业体系竞争力</w:t>
            </w:r>
          </w:p>
        </w:tc>
        <w:tc>
          <w:tcPr>
            <w:tcW w:w="35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left"/>
              <w:textAlignment w:val="center"/>
              <w:rPr>
                <w:rFonts w:ascii="Times New Roman" w:hAnsi="Times New Roman" w:cs="方正仿宋_GBK"/>
                <w:color w:val="000000"/>
                <w:sz w:val="21"/>
                <w:szCs w:val="21"/>
              </w:rPr>
            </w:pPr>
            <w:r>
              <w:rPr>
                <w:rFonts w:ascii="Times New Roman" w:hAnsi="Times New Roman" w:cs="方正仿宋_GBK" w:hint="eastAsia"/>
                <w:color w:val="000000"/>
                <w:sz w:val="21"/>
                <w:szCs w:val="21"/>
              </w:rPr>
              <w:t>推动</w:t>
            </w:r>
            <w:r>
              <w:rPr>
                <w:rFonts w:ascii="Times New Roman" w:hAnsi="Times New Roman" w:cs="方正仿宋_GBK" w:hint="eastAsia"/>
                <w:color w:val="000000"/>
                <w:sz w:val="21"/>
                <w:szCs w:val="21"/>
              </w:rPr>
              <w:t>CENI</w:t>
            </w:r>
            <w:r>
              <w:rPr>
                <w:rFonts w:ascii="Times New Roman" w:hAnsi="Times New Roman" w:cs="方正仿宋_GBK" w:hint="eastAsia"/>
                <w:color w:val="000000"/>
                <w:sz w:val="21"/>
                <w:szCs w:val="21"/>
              </w:rPr>
              <w:t>等重大科技基础设施验收与培育，建设高能级创新平台。争取扬子石化等支柱项目纳</w:t>
            </w:r>
            <w:proofErr w:type="gramStart"/>
            <w:r>
              <w:rPr>
                <w:rFonts w:ascii="Times New Roman" w:hAnsi="Times New Roman" w:cs="方正仿宋_GBK" w:hint="eastAsia"/>
                <w:color w:val="000000"/>
                <w:sz w:val="21"/>
                <w:szCs w:val="21"/>
              </w:rPr>
              <w:t>规</w:t>
            </w:r>
            <w:proofErr w:type="gramEnd"/>
            <w:r>
              <w:rPr>
                <w:rFonts w:ascii="Times New Roman" w:hAnsi="Times New Roman" w:cs="方正仿宋_GBK" w:hint="eastAsia"/>
                <w:color w:val="000000"/>
                <w:sz w:val="21"/>
                <w:szCs w:val="21"/>
              </w:rPr>
              <w:t>开工，</w:t>
            </w:r>
            <w:proofErr w:type="gramStart"/>
            <w:r>
              <w:rPr>
                <w:rFonts w:ascii="Times New Roman" w:hAnsi="Times New Roman" w:cs="方正仿宋_GBK" w:hint="eastAsia"/>
                <w:color w:val="000000"/>
                <w:sz w:val="21"/>
                <w:szCs w:val="21"/>
              </w:rPr>
              <w:t>推动战</w:t>
            </w:r>
            <w:proofErr w:type="gramEnd"/>
            <w:r>
              <w:rPr>
                <w:rFonts w:ascii="Times New Roman" w:hAnsi="Times New Roman" w:cs="方正仿宋_GBK" w:hint="eastAsia"/>
                <w:color w:val="000000"/>
                <w:sz w:val="21"/>
                <w:szCs w:val="21"/>
              </w:rPr>
              <w:t>新产业与未来产业</w:t>
            </w:r>
            <w:proofErr w:type="gramStart"/>
            <w:r>
              <w:rPr>
                <w:rFonts w:ascii="Times New Roman" w:hAnsi="Times New Roman" w:cs="方正仿宋_GBK" w:hint="eastAsia"/>
                <w:color w:val="000000"/>
                <w:sz w:val="21"/>
                <w:szCs w:val="21"/>
              </w:rPr>
              <w:t>集群强链</w:t>
            </w:r>
            <w:proofErr w:type="gramEnd"/>
            <w:r>
              <w:rPr>
                <w:rFonts w:ascii="Times New Roman" w:hAnsi="Times New Roman" w:cs="方正仿宋_GBK" w:hint="eastAsia"/>
                <w:color w:val="000000"/>
                <w:sz w:val="21"/>
                <w:szCs w:val="21"/>
              </w:rPr>
              <w:t>，培育独角兽瞪</w:t>
            </w:r>
            <w:proofErr w:type="gramStart"/>
            <w:r>
              <w:rPr>
                <w:rFonts w:ascii="Times New Roman" w:hAnsi="Times New Roman" w:cs="方正仿宋_GBK" w:hint="eastAsia"/>
                <w:color w:val="000000"/>
                <w:sz w:val="21"/>
                <w:szCs w:val="21"/>
              </w:rPr>
              <w:t>羚</w:t>
            </w:r>
            <w:proofErr w:type="gramEnd"/>
            <w:r>
              <w:rPr>
                <w:rFonts w:ascii="Times New Roman" w:hAnsi="Times New Roman" w:cs="方正仿宋_GBK" w:hint="eastAsia"/>
                <w:color w:val="000000"/>
                <w:sz w:val="21"/>
                <w:szCs w:val="21"/>
              </w:rPr>
              <w:t>企业。促进服务业赋能提质，培育</w:t>
            </w:r>
            <w:proofErr w:type="gramStart"/>
            <w:r>
              <w:rPr>
                <w:rFonts w:ascii="Times New Roman" w:hAnsi="Times New Roman" w:cs="方正仿宋_GBK" w:hint="eastAsia"/>
                <w:color w:val="000000"/>
                <w:sz w:val="21"/>
                <w:szCs w:val="21"/>
              </w:rPr>
              <w:t>规</w:t>
            </w:r>
            <w:proofErr w:type="gramEnd"/>
            <w:r>
              <w:rPr>
                <w:rFonts w:ascii="Times New Roman" w:hAnsi="Times New Roman" w:cs="方正仿宋_GBK" w:hint="eastAsia"/>
                <w:color w:val="000000"/>
                <w:sz w:val="21"/>
                <w:szCs w:val="21"/>
              </w:rPr>
              <w:t>上企业，释放消费潜力。</w:t>
            </w:r>
          </w:p>
        </w:tc>
      </w:tr>
      <w:tr w:rsidR="001A79DF">
        <w:trPr>
          <w:trHeight w:val="23"/>
        </w:trPr>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sz w:val="21"/>
                <w:szCs w:val="21"/>
              </w:rPr>
            </w:pPr>
            <w:r>
              <w:rPr>
                <w:rFonts w:ascii="Times New Roman" w:hAnsi="Times New Roman" w:cs="方正仿宋_GBK" w:hint="eastAsia"/>
                <w:color w:val="000000"/>
                <w:kern w:val="0"/>
                <w:sz w:val="21"/>
                <w:szCs w:val="21"/>
                <w:lang w:bidi="ar"/>
              </w:rPr>
              <w:t>4</w:t>
            </w:r>
          </w:p>
        </w:tc>
        <w:tc>
          <w:tcPr>
            <w:tcW w:w="10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sz w:val="21"/>
                <w:szCs w:val="21"/>
              </w:rPr>
            </w:pPr>
            <w:r>
              <w:rPr>
                <w:rFonts w:ascii="方正仿宋_GBK" w:hAnsi="方正仿宋_GBK" w:cs="方正仿宋_GBK" w:hint="eastAsia"/>
                <w:sz w:val="21"/>
                <w:szCs w:val="21"/>
              </w:rPr>
              <w:t>深化区域联动协调发展</w:t>
            </w:r>
          </w:p>
        </w:tc>
        <w:tc>
          <w:tcPr>
            <w:tcW w:w="35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left"/>
              <w:textAlignment w:val="center"/>
              <w:rPr>
                <w:rFonts w:ascii="Times New Roman" w:hAnsi="Times New Roman" w:cs="方正仿宋_GBK"/>
                <w:color w:val="000000"/>
                <w:sz w:val="21"/>
                <w:szCs w:val="21"/>
              </w:rPr>
            </w:pPr>
            <w:r>
              <w:rPr>
                <w:rFonts w:ascii="方正仿宋_GBK" w:hAnsi="方正仿宋_GBK" w:cs="方正仿宋_GBK" w:hint="eastAsia"/>
                <w:sz w:val="21"/>
                <w:szCs w:val="21"/>
              </w:rPr>
              <w:t>深度融入长三角一体化，协同建强南京都市圈，编制新一轮发展规划。打造综合性国际交通枢纽，推动过江通道、北站枢纽等建设。建立市</w:t>
            </w:r>
            <w:proofErr w:type="gramStart"/>
            <w:r>
              <w:rPr>
                <w:rFonts w:ascii="方正仿宋_GBK" w:hAnsi="方正仿宋_GBK" w:cs="方正仿宋_GBK" w:hint="eastAsia"/>
                <w:sz w:val="21"/>
                <w:szCs w:val="21"/>
              </w:rPr>
              <w:t>域协调</w:t>
            </w:r>
            <w:proofErr w:type="gramEnd"/>
            <w:r>
              <w:rPr>
                <w:rFonts w:ascii="方正仿宋_GBK" w:hAnsi="方正仿宋_GBK" w:cs="方正仿宋_GBK" w:hint="eastAsia"/>
                <w:sz w:val="21"/>
                <w:szCs w:val="21"/>
              </w:rPr>
              <w:t>联动机制，支持江北新区、六合高淳高质量发展，高标准推进“三对”合作。</w:t>
            </w:r>
          </w:p>
        </w:tc>
      </w:tr>
      <w:tr w:rsidR="001A79DF">
        <w:trPr>
          <w:trHeight w:val="23"/>
        </w:trPr>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sz w:val="21"/>
                <w:szCs w:val="21"/>
              </w:rPr>
            </w:pPr>
            <w:r>
              <w:rPr>
                <w:rFonts w:ascii="Times New Roman" w:hAnsi="Times New Roman" w:cs="方正仿宋_GBK" w:hint="eastAsia"/>
                <w:color w:val="000000"/>
                <w:kern w:val="0"/>
                <w:sz w:val="21"/>
                <w:szCs w:val="21"/>
                <w:lang w:bidi="ar"/>
              </w:rPr>
              <w:t>5</w:t>
            </w:r>
          </w:p>
        </w:tc>
        <w:tc>
          <w:tcPr>
            <w:tcW w:w="10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sz w:val="21"/>
                <w:szCs w:val="21"/>
              </w:rPr>
            </w:pPr>
            <w:r>
              <w:rPr>
                <w:rFonts w:ascii="方正仿宋_GBK" w:hAnsi="方正仿宋_GBK" w:cs="方正仿宋_GBK" w:hint="eastAsia"/>
                <w:sz w:val="21"/>
                <w:szCs w:val="21"/>
              </w:rPr>
              <w:t>持续推动绿色低碳发展</w:t>
            </w:r>
          </w:p>
        </w:tc>
        <w:tc>
          <w:tcPr>
            <w:tcW w:w="35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left"/>
              <w:textAlignment w:val="center"/>
              <w:rPr>
                <w:rFonts w:ascii="Times New Roman" w:hAnsi="Times New Roman" w:cs="方正仿宋_GBK"/>
                <w:color w:val="000000"/>
                <w:sz w:val="21"/>
                <w:szCs w:val="21"/>
              </w:rPr>
            </w:pPr>
            <w:r>
              <w:rPr>
                <w:rFonts w:ascii="Times New Roman" w:hAnsi="Times New Roman" w:cs="方正仿宋_GBK" w:hint="eastAsia"/>
                <w:color w:val="000000"/>
                <w:sz w:val="21"/>
                <w:szCs w:val="21"/>
              </w:rPr>
              <w:t>统筹长江大保护与问题整改，组织</w:t>
            </w:r>
            <w:proofErr w:type="gramStart"/>
            <w:r>
              <w:rPr>
                <w:rFonts w:ascii="Times New Roman" w:hAnsi="Times New Roman" w:cs="方正仿宋_GBK" w:hint="eastAsia"/>
                <w:color w:val="000000"/>
                <w:sz w:val="21"/>
                <w:szCs w:val="21"/>
              </w:rPr>
              <w:t>碳达峰试点</w:t>
            </w:r>
            <w:proofErr w:type="gramEnd"/>
            <w:r>
              <w:rPr>
                <w:rFonts w:ascii="Times New Roman" w:hAnsi="Times New Roman" w:cs="方正仿宋_GBK" w:hint="eastAsia"/>
                <w:color w:val="000000"/>
                <w:sz w:val="21"/>
                <w:szCs w:val="21"/>
              </w:rPr>
              <w:t>建设。严把项目能效准入，落实生态补偿与价值实现试点。优化能源布局，推动燃机、储能、光</w:t>
            </w:r>
            <w:proofErr w:type="gramStart"/>
            <w:r>
              <w:rPr>
                <w:rFonts w:ascii="Times New Roman" w:hAnsi="Times New Roman" w:cs="方正仿宋_GBK" w:hint="eastAsia"/>
                <w:color w:val="000000"/>
                <w:sz w:val="21"/>
                <w:szCs w:val="21"/>
              </w:rPr>
              <w:t>伏及风电项目</w:t>
            </w:r>
            <w:proofErr w:type="gramEnd"/>
            <w:r>
              <w:rPr>
                <w:rFonts w:ascii="Times New Roman" w:hAnsi="Times New Roman" w:cs="方正仿宋_GBK" w:hint="eastAsia"/>
                <w:color w:val="000000"/>
                <w:sz w:val="21"/>
                <w:szCs w:val="21"/>
              </w:rPr>
              <w:t>建设，促进清洁能源消纳，调优能源结构。</w:t>
            </w:r>
          </w:p>
        </w:tc>
      </w:tr>
      <w:tr w:rsidR="001A79DF">
        <w:trPr>
          <w:trHeight w:val="23"/>
        </w:trPr>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sz w:val="21"/>
                <w:szCs w:val="21"/>
              </w:rPr>
            </w:pPr>
            <w:r>
              <w:rPr>
                <w:rFonts w:ascii="Times New Roman" w:hAnsi="Times New Roman" w:cs="方正仿宋_GBK" w:hint="eastAsia"/>
                <w:color w:val="000000"/>
                <w:kern w:val="0"/>
                <w:sz w:val="21"/>
                <w:szCs w:val="21"/>
                <w:lang w:bidi="ar"/>
              </w:rPr>
              <w:t>6</w:t>
            </w:r>
          </w:p>
        </w:tc>
        <w:tc>
          <w:tcPr>
            <w:tcW w:w="10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sz w:val="21"/>
                <w:szCs w:val="21"/>
              </w:rPr>
            </w:pPr>
            <w:r>
              <w:rPr>
                <w:rFonts w:ascii="方正仿宋_GBK" w:hAnsi="方正仿宋_GBK" w:cs="方正仿宋_GBK" w:hint="eastAsia"/>
                <w:sz w:val="21"/>
                <w:szCs w:val="21"/>
              </w:rPr>
              <w:t>深化高水平开放与改革</w:t>
            </w:r>
          </w:p>
        </w:tc>
        <w:tc>
          <w:tcPr>
            <w:tcW w:w="35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left"/>
              <w:textAlignment w:val="center"/>
              <w:rPr>
                <w:rFonts w:ascii="Times New Roman" w:hAnsi="Times New Roman" w:cs="方正仿宋_GBK"/>
                <w:color w:val="000000"/>
                <w:sz w:val="21"/>
                <w:szCs w:val="21"/>
              </w:rPr>
            </w:pPr>
            <w:r>
              <w:rPr>
                <w:rFonts w:ascii="Times New Roman" w:hAnsi="Times New Roman" w:cs="方正仿宋_GBK" w:hint="eastAsia"/>
                <w:color w:val="000000"/>
                <w:sz w:val="21"/>
                <w:szCs w:val="21"/>
              </w:rPr>
              <w:t>落实“一带一路”重点工作，支持中阿产能合作示范园。对标世行优化营商环境，探索自主改革事项。推进全国统一大市场建设，盘活存量资产，降低物流成本。落实民营经济工作要点，促进民间投资，打造“诚信南京”。</w:t>
            </w:r>
          </w:p>
        </w:tc>
      </w:tr>
      <w:tr w:rsidR="001A79DF">
        <w:trPr>
          <w:trHeight w:val="23"/>
        </w:trPr>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sz w:val="21"/>
                <w:szCs w:val="21"/>
              </w:rPr>
            </w:pPr>
            <w:r>
              <w:rPr>
                <w:rFonts w:ascii="Times New Roman" w:hAnsi="Times New Roman" w:cs="方正仿宋_GBK" w:hint="eastAsia"/>
                <w:color w:val="000000"/>
                <w:kern w:val="0"/>
                <w:sz w:val="21"/>
                <w:szCs w:val="21"/>
                <w:lang w:bidi="ar"/>
              </w:rPr>
              <w:lastRenderedPageBreak/>
              <w:t>7</w:t>
            </w:r>
          </w:p>
        </w:tc>
        <w:tc>
          <w:tcPr>
            <w:tcW w:w="10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sz w:val="21"/>
                <w:szCs w:val="21"/>
              </w:rPr>
            </w:pPr>
            <w:r>
              <w:rPr>
                <w:rFonts w:ascii="方正仿宋_GBK" w:hAnsi="方正仿宋_GBK" w:cs="方正仿宋_GBK" w:hint="eastAsia"/>
                <w:sz w:val="21"/>
                <w:szCs w:val="21"/>
              </w:rPr>
              <w:t>强化民生服务保障</w:t>
            </w:r>
          </w:p>
        </w:tc>
        <w:tc>
          <w:tcPr>
            <w:tcW w:w="35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left"/>
              <w:textAlignment w:val="center"/>
              <w:rPr>
                <w:rFonts w:ascii="Times New Roman" w:hAnsi="Times New Roman" w:cs="方正仿宋_GBK"/>
                <w:color w:val="000000"/>
                <w:sz w:val="21"/>
                <w:szCs w:val="21"/>
              </w:rPr>
            </w:pPr>
            <w:r>
              <w:rPr>
                <w:rFonts w:ascii="Times New Roman" w:hAnsi="Times New Roman" w:cs="方正仿宋_GBK" w:hint="eastAsia"/>
                <w:color w:val="000000"/>
                <w:sz w:val="21"/>
                <w:szCs w:val="21"/>
              </w:rPr>
              <w:t>制定富民增收任务清单，统筹推进</w:t>
            </w:r>
            <w:r>
              <w:rPr>
                <w:rFonts w:ascii="Times New Roman" w:hAnsi="Times New Roman" w:cs="方正仿宋_GBK" w:hint="eastAsia"/>
                <w:color w:val="000000"/>
                <w:sz w:val="21"/>
                <w:szCs w:val="21"/>
              </w:rPr>
              <w:t>42</w:t>
            </w:r>
            <w:r>
              <w:rPr>
                <w:rFonts w:ascii="Times New Roman" w:hAnsi="Times New Roman" w:cs="方正仿宋_GBK" w:hint="eastAsia"/>
                <w:color w:val="000000"/>
                <w:sz w:val="21"/>
                <w:szCs w:val="21"/>
              </w:rPr>
              <w:t>项民生实事。推动银发经济、嵌入式服务设施、儿童友好城市及产教融合试点建设。抓好价格调控，推进公用事业价格改革，落实降费举措，保障物价稳定。</w:t>
            </w:r>
          </w:p>
        </w:tc>
      </w:tr>
      <w:tr w:rsidR="001A79DF">
        <w:trPr>
          <w:trHeight w:val="23"/>
        </w:trPr>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lang w:bidi="ar"/>
              </w:rPr>
            </w:pPr>
            <w:r>
              <w:rPr>
                <w:rFonts w:ascii="Times New Roman" w:hAnsi="Times New Roman" w:cs="方正仿宋_GBK" w:hint="eastAsia"/>
                <w:color w:val="000000"/>
                <w:kern w:val="0"/>
                <w:sz w:val="21"/>
                <w:szCs w:val="21"/>
                <w:lang w:bidi="ar"/>
              </w:rPr>
              <w:t>8</w:t>
            </w:r>
          </w:p>
        </w:tc>
        <w:tc>
          <w:tcPr>
            <w:tcW w:w="10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方正仿宋_GBK" w:hAnsi="方正仿宋_GBK" w:cs="方正仿宋_GBK"/>
                <w:sz w:val="21"/>
                <w:szCs w:val="21"/>
              </w:rPr>
            </w:pPr>
            <w:r>
              <w:rPr>
                <w:rFonts w:ascii="方正仿宋_GBK" w:hAnsi="方正仿宋_GBK" w:cs="方正仿宋_GBK" w:hint="eastAsia"/>
                <w:sz w:val="21"/>
                <w:szCs w:val="21"/>
              </w:rPr>
              <w:t>守好能源粮食</w:t>
            </w:r>
            <w:proofErr w:type="gramStart"/>
            <w:r>
              <w:rPr>
                <w:rFonts w:ascii="方正仿宋_GBK" w:hAnsi="方正仿宋_GBK" w:cs="方正仿宋_GBK" w:hint="eastAsia"/>
                <w:sz w:val="21"/>
                <w:szCs w:val="21"/>
              </w:rPr>
              <w:t>安全红</w:t>
            </w:r>
            <w:proofErr w:type="gramEnd"/>
            <w:r>
              <w:rPr>
                <w:rFonts w:ascii="方正仿宋_GBK" w:hAnsi="方正仿宋_GBK" w:cs="方正仿宋_GBK" w:hint="eastAsia"/>
                <w:sz w:val="21"/>
                <w:szCs w:val="21"/>
              </w:rPr>
              <w:t>线</w:t>
            </w:r>
          </w:p>
        </w:tc>
        <w:tc>
          <w:tcPr>
            <w:tcW w:w="35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left"/>
              <w:textAlignment w:val="center"/>
              <w:rPr>
                <w:rFonts w:ascii="Times New Roman" w:hAnsi="Times New Roman" w:cs="方正仿宋_GBK"/>
                <w:color w:val="000000"/>
                <w:sz w:val="21"/>
                <w:szCs w:val="21"/>
              </w:rPr>
            </w:pPr>
            <w:r>
              <w:rPr>
                <w:rFonts w:ascii="Times New Roman" w:hAnsi="Times New Roman" w:cs="方正仿宋_GBK" w:hint="eastAsia"/>
                <w:color w:val="000000"/>
                <w:sz w:val="21"/>
                <w:szCs w:val="21"/>
              </w:rPr>
              <w:t>做好电力迎峰度夏（冬）保供，推进虚拟电厂建设。落实耕地保护和粮食安全责任制，抓好粮食收购与储备轮换，建设现代化仓储设施。强化油气管道、电网及粮食领域安全风险排查，守牢安全生产底线。</w:t>
            </w:r>
          </w:p>
        </w:tc>
      </w:tr>
      <w:tr w:rsidR="001A79DF">
        <w:trPr>
          <w:trHeight w:val="23"/>
        </w:trPr>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sz w:val="21"/>
                <w:szCs w:val="21"/>
              </w:rPr>
            </w:pPr>
            <w:r>
              <w:rPr>
                <w:rFonts w:ascii="Times New Roman" w:hAnsi="Times New Roman" w:cs="方正仿宋_GBK" w:hint="eastAsia"/>
                <w:color w:val="000000"/>
                <w:kern w:val="0"/>
                <w:sz w:val="21"/>
                <w:szCs w:val="21"/>
                <w:lang w:bidi="ar"/>
              </w:rPr>
              <w:t>9</w:t>
            </w:r>
          </w:p>
        </w:tc>
        <w:tc>
          <w:tcPr>
            <w:tcW w:w="10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sz w:val="21"/>
                <w:szCs w:val="21"/>
              </w:rPr>
            </w:pPr>
            <w:r>
              <w:rPr>
                <w:rFonts w:ascii="方正仿宋_GBK" w:hAnsi="方正仿宋_GBK" w:cs="方正仿宋_GBK" w:hint="eastAsia"/>
                <w:sz w:val="21"/>
                <w:szCs w:val="21"/>
              </w:rPr>
              <w:t>加强政治机关建设</w:t>
            </w:r>
          </w:p>
        </w:tc>
        <w:tc>
          <w:tcPr>
            <w:tcW w:w="35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left"/>
              <w:textAlignment w:val="center"/>
              <w:rPr>
                <w:rFonts w:ascii="Times New Roman" w:hAnsi="Times New Roman" w:cs="方正仿宋_GBK"/>
                <w:color w:val="000000"/>
                <w:sz w:val="21"/>
                <w:szCs w:val="21"/>
              </w:rPr>
            </w:pPr>
            <w:r>
              <w:rPr>
                <w:rFonts w:ascii="Times New Roman" w:hAnsi="Times New Roman" w:cs="方正仿宋_GBK" w:hint="eastAsia"/>
                <w:color w:val="000000"/>
                <w:sz w:val="21"/>
                <w:szCs w:val="21"/>
              </w:rPr>
              <w:t>推进全面从严治党，深化党建与业务融合，建设“四强”党支部。加强法治机关建设，落实行政执法制度。突出实干用人导向，培养青年骨干。严控行政成本，优化运转质效。加强舆论宣传，提</w:t>
            </w:r>
            <w:proofErr w:type="gramStart"/>
            <w:r>
              <w:rPr>
                <w:rFonts w:ascii="Times New Roman" w:hAnsi="Times New Roman" w:cs="方正仿宋_GBK" w:hint="eastAsia"/>
                <w:color w:val="000000"/>
                <w:sz w:val="21"/>
                <w:szCs w:val="21"/>
              </w:rPr>
              <w:t>振发展</w:t>
            </w:r>
            <w:proofErr w:type="gramEnd"/>
            <w:r>
              <w:rPr>
                <w:rFonts w:ascii="Times New Roman" w:hAnsi="Times New Roman" w:cs="方正仿宋_GBK" w:hint="eastAsia"/>
                <w:color w:val="000000"/>
                <w:sz w:val="21"/>
                <w:szCs w:val="21"/>
              </w:rPr>
              <w:t>信心。</w:t>
            </w:r>
          </w:p>
        </w:tc>
      </w:tr>
    </w:tbl>
    <w:p w:rsidR="001A79DF" w:rsidRDefault="00E70674">
      <w:pPr>
        <w:pStyle w:val="3"/>
        <w:spacing w:line="560" w:lineRule="exact"/>
        <w:ind w:firstLine="640"/>
        <w:rPr>
          <w:rFonts w:ascii="Times New Roman" w:eastAsia="方正楷体_GBK" w:hAnsi="Times New Roman" w:cs="方正楷体_GBK"/>
        </w:rPr>
      </w:pPr>
      <w:bookmarkStart w:id="29" w:name="_Toc17243"/>
      <w:bookmarkStart w:id="30" w:name="_Toc25096"/>
      <w:bookmarkStart w:id="31" w:name="_Toc900"/>
      <w:bookmarkStart w:id="32" w:name="_Toc32644"/>
      <w:bookmarkStart w:id="33" w:name="_Toc25622"/>
      <w:bookmarkStart w:id="34" w:name="_Toc26415"/>
      <w:bookmarkStart w:id="35" w:name="_Toc170474486"/>
      <w:bookmarkStart w:id="36" w:name="_Toc169773112"/>
      <w:bookmarkStart w:id="37" w:name="_Toc10384"/>
      <w:r>
        <w:rPr>
          <w:rFonts w:ascii="Times New Roman" w:eastAsia="方正楷体_GBK" w:hAnsi="Times New Roman" w:cs="方正楷体_GBK"/>
        </w:rPr>
        <w:t>（二）</w:t>
      </w:r>
      <w:bookmarkEnd w:id="29"/>
      <w:bookmarkEnd w:id="30"/>
      <w:bookmarkEnd w:id="31"/>
      <w:bookmarkEnd w:id="32"/>
      <w:bookmarkEnd w:id="33"/>
      <w:bookmarkEnd w:id="34"/>
      <w:r>
        <w:rPr>
          <w:rFonts w:ascii="Times New Roman" w:eastAsia="方正楷体_GBK" w:hAnsi="Times New Roman" w:cs="方正楷体_GBK"/>
        </w:rPr>
        <w:t>部门收支情况</w:t>
      </w:r>
      <w:bookmarkEnd w:id="35"/>
      <w:bookmarkEnd w:id="36"/>
      <w:bookmarkEnd w:id="37"/>
    </w:p>
    <w:p w:rsidR="001A79DF" w:rsidRDefault="00E70674">
      <w:pPr>
        <w:pStyle w:val="3"/>
        <w:spacing w:line="560" w:lineRule="exact"/>
        <w:ind w:firstLine="640"/>
        <w:rPr>
          <w:rFonts w:ascii="Times New Roman" w:eastAsia="方正仿宋_GBK" w:hAnsi="Times New Roman" w:cs="方正仿宋_GBK"/>
        </w:rPr>
      </w:pPr>
      <w:r>
        <w:rPr>
          <w:rFonts w:ascii="Times New Roman" w:eastAsia="方正仿宋_GBK" w:hAnsi="Times New Roman" w:cs="方正仿宋_GBK" w:hint="eastAsia"/>
        </w:rPr>
        <w:t>1</w:t>
      </w:r>
      <w:r>
        <w:rPr>
          <w:rFonts w:ascii="Times New Roman" w:eastAsia="方正仿宋_GBK" w:hAnsi="Times New Roman" w:cs="方正仿宋_GBK" w:hint="eastAsia"/>
        </w:rPr>
        <w:t>．部门预算执行情况</w:t>
      </w:r>
    </w:p>
    <w:p w:rsidR="001A79DF" w:rsidRDefault="00E70674">
      <w:pPr>
        <w:spacing w:line="540" w:lineRule="exact"/>
        <w:ind w:firstLine="640"/>
        <w:rPr>
          <w:rFonts w:ascii="Times New Roman" w:hAnsi="Times New Roman" w:cs="方正仿宋_GBK"/>
          <w:sz w:val="32"/>
          <w:szCs w:val="32"/>
        </w:rPr>
      </w:pPr>
      <w:r>
        <w:rPr>
          <w:rFonts w:ascii="Times New Roman" w:hAnsi="Times New Roman" w:cs="方正仿宋_GBK" w:hint="eastAsia"/>
          <w:sz w:val="32"/>
          <w:szCs w:val="32"/>
        </w:rPr>
        <w:t>本单位</w:t>
      </w:r>
      <w:r>
        <w:rPr>
          <w:rFonts w:ascii="Times New Roman" w:hAnsi="Times New Roman" w:cs="方正仿宋_GBK" w:hint="eastAsia"/>
          <w:sz w:val="32"/>
          <w:szCs w:val="32"/>
        </w:rPr>
        <w:t>2025</w:t>
      </w:r>
      <w:r>
        <w:rPr>
          <w:rFonts w:ascii="Times New Roman" w:hAnsi="Times New Roman" w:cs="方正仿宋_GBK" w:hint="eastAsia"/>
          <w:sz w:val="32"/>
          <w:szCs w:val="32"/>
        </w:rPr>
        <w:t>年度年初部门预算收入</w:t>
      </w:r>
      <w:r>
        <w:rPr>
          <w:rFonts w:ascii="Times New Roman" w:hAnsi="Times New Roman" w:cs="方正仿宋_GBK" w:hint="eastAsia"/>
          <w:sz w:val="32"/>
          <w:szCs w:val="32"/>
        </w:rPr>
        <w:t>11,685.42</w:t>
      </w:r>
      <w:r>
        <w:rPr>
          <w:rFonts w:ascii="Times New Roman" w:hAnsi="Times New Roman" w:cs="方正仿宋_GBK" w:hint="eastAsia"/>
          <w:sz w:val="32"/>
          <w:szCs w:val="32"/>
        </w:rPr>
        <w:t>万元，全年预算数为</w:t>
      </w:r>
      <w:r>
        <w:rPr>
          <w:rFonts w:ascii="Times New Roman" w:hAnsi="Times New Roman" w:cs="方正仿宋_GBK"/>
          <w:sz w:val="32"/>
          <w:szCs w:val="32"/>
        </w:rPr>
        <w:t>13</w:t>
      </w:r>
      <w:r>
        <w:rPr>
          <w:rFonts w:ascii="Times New Roman" w:hAnsi="Times New Roman" w:cs="方正仿宋_GBK" w:hint="eastAsia"/>
          <w:sz w:val="32"/>
          <w:szCs w:val="32"/>
        </w:rPr>
        <w:t>689.34</w:t>
      </w:r>
      <w:r>
        <w:rPr>
          <w:rFonts w:ascii="Times New Roman" w:hAnsi="Times New Roman" w:cs="方正仿宋_GBK" w:hint="eastAsia"/>
          <w:sz w:val="32"/>
          <w:szCs w:val="32"/>
        </w:rPr>
        <w:t>万元，全年预算数较年初预算增加</w:t>
      </w:r>
      <w:r>
        <w:rPr>
          <w:rFonts w:ascii="Times New Roman" w:hAnsi="Times New Roman" w:cs="方正仿宋_GBK" w:hint="eastAsia"/>
          <w:sz w:val="32"/>
          <w:szCs w:val="32"/>
        </w:rPr>
        <w:t>2003.92</w:t>
      </w:r>
      <w:r>
        <w:rPr>
          <w:rFonts w:ascii="Times New Roman" w:hAnsi="Times New Roman" w:cs="方正仿宋_GBK" w:hint="eastAsia"/>
          <w:sz w:val="32"/>
          <w:szCs w:val="32"/>
        </w:rPr>
        <w:t>万元，增加率为</w:t>
      </w:r>
      <w:r>
        <w:rPr>
          <w:rFonts w:ascii="Times New Roman" w:hAnsi="Times New Roman" w:cs="方正仿宋_GBK" w:hint="eastAsia"/>
          <w:sz w:val="32"/>
          <w:szCs w:val="32"/>
        </w:rPr>
        <w:t>17.15%</w:t>
      </w:r>
      <w:r>
        <w:rPr>
          <w:rFonts w:ascii="Times New Roman" w:hAnsi="Times New Roman" w:cs="方正仿宋_GBK" w:hint="eastAsia"/>
          <w:sz w:val="32"/>
          <w:szCs w:val="32"/>
        </w:rPr>
        <w:t>，主要原因是人员增加和新增项目资金。</w:t>
      </w:r>
    </w:p>
    <w:p w:rsidR="001A79DF" w:rsidRDefault="00E70674">
      <w:pPr>
        <w:spacing w:line="540" w:lineRule="exact"/>
        <w:ind w:firstLine="640"/>
        <w:rPr>
          <w:rFonts w:ascii="Times New Roman" w:hAnsi="Times New Roman" w:cs="方正仿宋_GBK"/>
          <w:sz w:val="32"/>
          <w:szCs w:val="32"/>
        </w:rPr>
      </w:pPr>
      <w:r>
        <w:rPr>
          <w:rFonts w:ascii="Times New Roman" w:hAnsi="Times New Roman" w:cs="方正仿宋_GBK" w:hint="eastAsia"/>
          <w:sz w:val="32"/>
          <w:szCs w:val="32"/>
        </w:rPr>
        <w:t>本单位</w:t>
      </w:r>
      <w:r>
        <w:rPr>
          <w:rFonts w:ascii="Times New Roman" w:hAnsi="Times New Roman" w:cs="方正仿宋_GBK"/>
          <w:sz w:val="32"/>
          <w:szCs w:val="32"/>
        </w:rPr>
        <w:t>2025</w:t>
      </w:r>
      <w:r>
        <w:rPr>
          <w:rFonts w:ascii="Times New Roman" w:hAnsi="Times New Roman" w:cs="方正仿宋_GBK" w:hint="eastAsia"/>
          <w:sz w:val="32"/>
          <w:szCs w:val="32"/>
        </w:rPr>
        <w:t>年度决算收入合计</w:t>
      </w:r>
      <w:r>
        <w:rPr>
          <w:rFonts w:ascii="Times New Roman" w:hAnsi="Times New Roman" w:cs="方正仿宋_GBK"/>
          <w:sz w:val="32"/>
          <w:szCs w:val="32"/>
        </w:rPr>
        <w:t>13689.34</w:t>
      </w:r>
      <w:r>
        <w:rPr>
          <w:rFonts w:ascii="Times New Roman" w:hAnsi="Times New Roman" w:cs="方正仿宋_GBK" w:hint="eastAsia"/>
          <w:sz w:val="32"/>
          <w:szCs w:val="32"/>
        </w:rPr>
        <w:t>万元，完成年初预算的</w:t>
      </w:r>
      <w:r>
        <w:rPr>
          <w:rFonts w:ascii="Times New Roman" w:hAnsi="Times New Roman" w:cs="方正仿宋_GBK"/>
          <w:sz w:val="32"/>
          <w:szCs w:val="32"/>
        </w:rPr>
        <w:t>117.15%</w:t>
      </w:r>
      <w:r>
        <w:rPr>
          <w:rFonts w:ascii="Times New Roman" w:hAnsi="Times New Roman" w:cs="方正仿宋_GBK" w:hint="eastAsia"/>
          <w:sz w:val="32"/>
          <w:szCs w:val="32"/>
        </w:rPr>
        <w:t>，主要原因是新增项目资金；本年度决算收入比上年增加</w:t>
      </w:r>
      <w:r>
        <w:rPr>
          <w:rFonts w:ascii="Times New Roman" w:hAnsi="Times New Roman" w:cs="方正仿宋_GBK"/>
          <w:sz w:val="32"/>
          <w:szCs w:val="32"/>
        </w:rPr>
        <w:t>1634.4</w:t>
      </w:r>
      <w:r>
        <w:rPr>
          <w:rFonts w:ascii="Times New Roman" w:hAnsi="Times New Roman" w:cs="方正仿宋_GBK" w:hint="eastAsia"/>
          <w:sz w:val="32"/>
          <w:szCs w:val="32"/>
        </w:rPr>
        <w:t>万元，增幅</w:t>
      </w:r>
      <w:r>
        <w:rPr>
          <w:rFonts w:ascii="Times New Roman" w:hAnsi="Times New Roman" w:cs="方正仿宋_GBK"/>
          <w:sz w:val="32"/>
          <w:szCs w:val="32"/>
        </w:rPr>
        <w:t>13.56%</w:t>
      </w:r>
      <w:r>
        <w:rPr>
          <w:rFonts w:ascii="Times New Roman" w:hAnsi="Times New Roman" w:cs="方正仿宋_GBK" w:hint="eastAsia"/>
          <w:sz w:val="32"/>
          <w:szCs w:val="32"/>
        </w:rPr>
        <w:t>。</w:t>
      </w:r>
    </w:p>
    <w:p w:rsidR="001A79DF" w:rsidRDefault="00E70674">
      <w:pPr>
        <w:spacing w:line="540" w:lineRule="exact"/>
        <w:ind w:firstLine="640"/>
        <w:rPr>
          <w:rFonts w:ascii="仿宋" w:eastAsia="仿宋" w:hAnsi="仿宋" w:cs="Times New Roman"/>
          <w:sz w:val="32"/>
          <w:szCs w:val="32"/>
        </w:rPr>
      </w:pPr>
      <w:r>
        <w:rPr>
          <w:rFonts w:ascii="Times New Roman" w:hAnsi="Times New Roman" w:cs="方正仿宋_GBK" w:hint="eastAsia"/>
          <w:sz w:val="32"/>
          <w:szCs w:val="32"/>
        </w:rPr>
        <w:t>本单位</w:t>
      </w:r>
      <w:r>
        <w:rPr>
          <w:rFonts w:ascii="Times New Roman" w:hAnsi="Times New Roman" w:cs="方正仿宋_GBK"/>
          <w:sz w:val="32"/>
          <w:szCs w:val="32"/>
        </w:rPr>
        <w:t>2025</w:t>
      </w:r>
      <w:r>
        <w:rPr>
          <w:rFonts w:ascii="Times New Roman" w:hAnsi="Times New Roman" w:cs="方正仿宋_GBK" w:hint="eastAsia"/>
          <w:sz w:val="32"/>
          <w:szCs w:val="32"/>
        </w:rPr>
        <w:t>年度决算支出合计</w:t>
      </w:r>
      <w:r>
        <w:rPr>
          <w:rFonts w:ascii="Times New Roman" w:hAnsi="Times New Roman" w:cs="方正仿宋_GBK"/>
          <w:sz w:val="32"/>
          <w:szCs w:val="32"/>
        </w:rPr>
        <w:t>13734.22</w:t>
      </w:r>
      <w:r>
        <w:rPr>
          <w:rFonts w:ascii="Times New Roman" w:hAnsi="Times New Roman" w:cs="方正仿宋_GBK" w:hint="eastAsia"/>
          <w:sz w:val="32"/>
          <w:szCs w:val="32"/>
        </w:rPr>
        <w:t>万元，完成年初预算的</w:t>
      </w:r>
      <w:r>
        <w:rPr>
          <w:rFonts w:ascii="Times New Roman" w:hAnsi="Times New Roman" w:cs="方正仿宋_GBK"/>
          <w:sz w:val="32"/>
          <w:szCs w:val="32"/>
        </w:rPr>
        <w:t>117.53%</w:t>
      </w:r>
      <w:r>
        <w:rPr>
          <w:rFonts w:ascii="Times New Roman" w:hAnsi="Times New Roman" w:cs="方正仿宋_GBK" w:hint="eastAsia"/>
          <w:sz w:val="32"/>
          <w:szCs w:val="32"/>
        </w:rPr>
        <w:t>，主要原因是新增项目资金；本年度决算支出比上年决算数增加</w:t>
      </w:r>
      <w:r>
        <w:rPr>
          <w:rFonts w:ascii="Times New Roman" w:hAnsi="Times New Roman" w:cs="方正仿宋_GBK"/>
          <w:sz w:val="32"/>
          <w:szCs w:val="32"/>
        </w:rPr>
        <w:t>1688.63</w:t>
      </w:r>
      <w:r>
        <w:rPr>
          <w:rFonts w:ascii="Times New Roman" w:hAnsi="Times New Roman" w:cs="方正仿宋_GBK" w:hint="eastAsia"/>
          <w:sz w:val="32"/>
          <w:szCs w:val="32"/>
        </w:rPr>
        <w:t>万元，增幅</w:t>
      </w:r>
      <w:r>
        <w:rPr>
          <w:rFonts w:ascii="Times New Roman" w:hAnsi="Times New Roman" w:cs="方正仿宋_GBK"/>
          <w:sz w:val="32"/>
          <w:szCs w:val="32"/>
        </w:rPr>
        <w:t>14.02%</w:t>
      </w:r>
      <w:r>
        <w:rPr>
          <w:rFonts w:ascii="Times New Roman" w:hAnsi="Times New Roman" w:cs="方正仿宋_GBK" w:hint="eastAsia"/>
          <w:sz w:val="32"/>
          <w:szCs w:val="32"/>
        </w:rPr>
        <w:t>。</w:t>
      </w:r>
      <w:bookmarkStart w:id="38" w:name="_Toc170302020"/>
      <w:bookmarkStart w:id="39" w:name="_Toc170474487"/>
      <w:bookmarkStart w:id="40" w:name="_Toc169774642"/>
      <w:r>
        <w:rPr>
          <w:rFonts w:ascii="仿宋" w:eastAsia="仿宋" w:hAnsi="仿宋" w:cs="Times New Roman" w:hint="eastAsia"/>
          <w:sz w:val="32"/>
          <w:szCs w:val="32"/>
        </w:rPr>
        <w:t>具体分析详见表2:</w:t>
      </w:r>
    </w:p>
    <w:p w:rsidR="001A79DF" w:rsidRDefault="00E70674">
      <w:pPr>
        <w:widowControl/>
        <w:kinsoku w:val="0"/>
        <w:autoSpaceDE w:val="0"/>
        <w:autoSpaceDN w:val="0"/>
        <w:adjustRightInd w:val="0"/>
        <w:snapToGrid w:val="0"/>
        <w:spacing w:before="256" w:line="221" w:lineRule="auto"/>
        <w:ind w:firstLineChars="500" w:firstLine="1280"/>
        <w:jc w:val="left"/>
        <w:textAlignment w:val="baseline"/>
        <w:rPr>
          <w:rFonts w:ascii="黑体" w:eastAsia="黑体" w:hAnsi="黑体" w:cs="仿宋"/>
          <w:snapToGrid w:val="0"/>
          <w:color w:val="000000"/>
          <w:kern w:val="0"/>
          <w:sz w:val="32"/>
          <w:szCs w:val="32"/>
        </w:rPr>
      </w:pPr>
      <w:r>
        <w:rPr>
          <w:rFonts w:ascii="方正黑体_GBK" w:eastAsia="方正黑体_GBK" w:hAnsi="方正黑体_GBK" w:cs="方正黑体_GBK" w:hint="eastAsia"/>
          <w:bCs/>
          <w:snapToGrid w:val="0"/>
          <w:color w:val="000000"/>
          <w:spacing w:val="-12"/>
          <w:kern w:val="0"/>
          <w:sz w:val="28"/>
          <w:szCs w:val="28"/>
        </w:rPr>
        <w:lastRenderedPageBreak/>
        <w:t>表</w:t>
      </w:r>
      <w:r>
        <w:rPr>
          <w:rFonts w:ascii="Times New Roman" w:eastAsia="方正黑体_GBK" w:hAnsi="Times New Roman" w:cs="Times New Roman"/>
          <w:bCs/>
          <w:snapToGrid w:val="0"/>
          <w:color w:val="000000"/>
          <w:spacing w:val="-12"/>
          <w:kern w:val="0"/>
          <w:sz w:val="28"/>
          <w:szCs w:val="28"/>
        </w:rPr>
        <w:t>2  2025</w:t>
      </w:r>
      <w:r>
        <w:rPr>
          <w:rFonts w:ascii="方正黑体_GBK" w:eastAsia="方正黑体_GBK" w:hAnsi="方正黑体_GBK" w:cs="方正黑体_GBK" w:hint="eastAsia"/>
          <w:bCs/>
          <w:snapToGrid w:val="0"/>
          <w:color w:val="000000"/>
          <w:spacing w:val="-12"/>
          <w:kern w:val="0"/>
          <w:sz w:val="28"/>
          <w:szCs w:val="28"/>
        </w:rPr>
        <w:t>年度南京市</w:t>
      </w:r>
      <w:proofErr w:type="gramStart"/>
      <w:r>
        <w:rPr>
          <w:rFonts w:ascii="方正黑体_GBK" w:eastAsia="方正黑体_GBK" w:hAnsi="方正黑体_GBK" w:cs="方正黑体_GBK" w:hint="eastAsia"/>
          <w:bCs/>
          <w:snapToGrid w:val="0"/>
          <w:color w:val="000000"/>
          <w:spacing w:val="-12"/>
          <w:kern w:val="0"/>
          <w:sz w:val="28"/>
          <w:szCs w:val="28"/>
        </w:rPr>
        <w:t>发改委部门</w:t>
      </w:r>
      <w:proofErr w:type="gramEnd"/>
      <w:r>
        <w:rPr>
          <w:rFonts w:ascii="方正黑体_GBK" w:eastAsia="方正黑体_GBK" w:hAnsi="方正黑体_GBK" w:cs="方正黑体_GBK" w:hint="eastAsia"/>
          <w:bCs/>
          <w:snapToGrid w:val="0"/>
          <w:color w:val="000000"/>
          <w:spacing w:val="-12"/>
          <w:kern w:val="0"/>
          <w:sz w:val="28"/>
          <w:szCs w:val="28"/>
        </w:rPr>
        <w:t>预算执行表</w:t>
      </w:r>
    </w:p>
    <w:p w:rsidR="001A79DF" w:rsidRDefault="00E70674">
      <w:pPr>
        <w:widowControl/>
        <w:kinsoku w:val="0"/>
        <w:autoSpaceDE w:val="0"/>
        <w:autoSpaceDN w:val="0"/>
        <w:adjustRightInd w:val="0"/>
        <w:snapToGrid w:val="0"/>
        <w:spacing w:before="252" w:line="221" w:lineRule="auto"/>
        <w:ind w:firstLineChars="2900" w:firstLine="7018"/>
        <w:jc w:val="left"/>
        <w:textAlignment w:val="baseline"/>
        <w:rPr>
          <w:rFonts w:ascii="仿宋" w:eastAsia="仿宋" w:hAnsi="仿宋" w:cs="宋体"/>
          <w:snapToGrid w:val="0"/>
          <w:color w:val="000000"/>
          <w:spacing w:val="1"/>
          <w:kern w:val="0"/>
          <w:sz w:val="24"/>
          <w:szCs w:val="24"/>
        </w:rPr>
      </w:pPr>
      <w:proofErr w:type="spellStart"/>
      <w:r>
        <w:rPr>
          <w:rFonts w:ascii="仿宋" w:eastAsia="仿宋" w:hAnsi="仿宋" w:cs="宋体" w:hint="eastAsia"/>
          <w:snapToGrid w:val="0"/>
          <w:color w:val="000000"/>
          <w:spacing w:val="1"/>
          <w:kern w:val="0"/>
          <w:sz w:val="24"/>
          <w:szCs w:val="24"/>
          <w:lang w:eastAsia="en-US"/>
        </w:rPr>
        <w:t>单位：万元</w:t>
      </w:r>
      <w:proofErr w:type="spellEnd"/>
    </w:p>
    <w:p w:rsidR="001A79DF" w:rsidRDefault="001A79DF">
      <w:pPr>
        <w:widowControl/>
        <w:kinsoku w:val="0"/>
        <w:autoSpaceDE w:val="0"/>
        <w:autoSpaceDN w:val="0"/>
        <w:adjustRightInd w:val="0"/>
        <w:snapToGrid w:val="0"/>
        <w:spacing w:line="111" w:lineRule="exact"/>
        <w:ind w:firstLineChars="0" w:firstLine="0"/>
        <w:jc w:val="left"/>
        <w:textAlignment w:val="baseline"/>
        <w:rPr>
          <w:rFonts w:ascii="Arial" w:eastAsia="宋体" w:hAnsi="Arial" w:cs="Arial"/>
          <w:snapToGrid w:val="0"/>
          <w:color w:val="000000"/>
          <w:kern w:val="0"/>
          <w:sz w:val="21"/>
          <w:szCs w:val="21"/>
          <w:lang w:eastAsia="en-US"/>
        </w:rPr>
      </w:pPr>
    </w:p>
    <w:tbl>
      <w:tblPr>
        <w:tblStyle w:val="TableNormal"/>
        <w:tblW w:w="9053" w:type="dxa"/>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0"/>
        <w:gridCol w:w="1189"/>
        <w:gridCol w:w="1560"/>
        <w:gridCol w:w="1559"/>
        <w:gridCol w:w="1276"/>
        <w:gridCol w:w="1275"/>
        <w:gridCol w:w="1134"/>
      </w:tblGrid>
      <w:tr w:rsidR="001A79DF">
        <w:trPr>
          <w:trHeight w:val="492"/>
        </w:trPr>
        <w:tc>
          <w:tcPr>
            <w:tcW w:w="1060" w:type="dxa"/>
            <w:tcBorders>
              <w:left w:val="nil"/>
            </w:tcBorders>
            <w:vAlign w:val="center"/>
          </w:tcPr>
          <w:p w:rsidR="001A79DF" w:rsidRDefault="00E70674">
            <w:pPr>
              <w:widowControl/>
              <w:kinsoku w:val="0"/>
              <w:autoSpaceDE w:val="0"/>
              <w:autoSpaceDN w:val="0"/>
              <w:adjustRightInd w:val="0"/>
              <w:snapToGrid w:val="0"/>
              <w:spacing w:before="63" w:line="219" w:lineRule="auto"/>
              <w:ind w:firstLineChars="0" w:firstLine="0"/>
              <w:jc w:val="center"/>
              <w:textAlignment w:val="baseline"/>
              <w:rPr>
                <w:rFonts w:ascii="仿宋" w:eastAsia="仿宋" w:hAnsi="仿宋" w:cs="宋体"/>
                <w:kern w:val="0"/>
                <w:sz w:val="21"/>
                <w:szCs w:val="21"/>
              </w:rPr>
            </w:pPr>
            <w:proofErr w:type="spellStart"/>
            <w:r>
              <w:rPr>
                <w:rFonts w:ascii="仿宋" w:eastAsia="仿宋" w:hAnsi="仿宋" w:cs="宋体"/>
                <w:spacing w:val="5"/>
                <w:kern w:val="0"/>
                <w:sz w:val="21"/>
                <w:szCs w:val="21"/>
              </w:rPr>
              <w:t>收支性质</w:t>
            </w:r>
            <w:proofErr w:type="spellEnd"/>
          </w:p>
        </w:tc>
        <w:tc>
          <w:tcPr>
            <w:tcW w:w="1189" w:type="dxa"/>
          </w:tcPr>
          <w:p w:rsidR="001A79DF" w:rsidRDefault="00E70674">
            <w:pPr>
              <w:widowControl/>
              <w:kinsoku w:val="0"/>
              <w:autoSpaceDE w:val="0"/>
              <w:autoSpaceDN w:val="0"/>
              <w:adjustRightInd w:val="0"/>
              <w:snapToGrid w:val="0"/>
              <w:spacing w:before="73" w:line="220" w:lineRule="auto"/>
              <w:ind w:firstLineChars="0" w:firstLine="0"/>
              <w:jc w:val="center"/>
              <w:textAlignment w:val="baseline"/>
              <w:rPr>
                <w:rFonts w:ascii="仿宋" w:eastAsia="仿宋" w:hAnsi="仿宋" w:cs="宋体"/>
                <w:spacing w:val="4"/>
                <w:kern w:val="0"/>
                <w:sz w:val="21"/>
                <w:szCs w:val="21"/>
              </w:rPr>
            </w:pPr>
            <w:proofErr w:type="spellStart"/>
            <w:r>
              <w:rPr>
                <w:rFonts w:ascii="仿宋" w:eastAsia="仿宋" w:hAnsi="仿宋" w:cs="宋体" w:hint="eastAsia"/>
                <w:spacing w:val="3"/>
                <w:kern w:val="0"/>
                <w:sz w:val="21"/>
                <w:szCs w:val="21"/>
              </w:rPr>
              <w:t>年</w:t>
            </w:r>
            <w:r>
              <w:rPr>
                <w:rFonts w:ascii="仿宋" w:eastAsia="仿宋" w:hAnsi="仿宋" w:cs="宋体"/>
                <w:spacing w:val="3"/>
                <w:kern w:val="0"/>
                <w:sz w:val="21"/>
                <w:szCs w:val="21"/>
              </w:rPr>
              <w:t>初结转</w:t>
            </w:r>
            <w:proofErr w:type="spellEnd"/>
          </w:p>
        </w:tc>
        <w:tc>
          <w:tcPr>
            <w:tcW w:w="1560" w:type="dxa"/>
            <w:vAlign w:val="center"/>
          </w:tcPr>
          <w:p w:rsidR="001A79DF" w:rsidRDefault="00E70674">
            <w:pPr>
              <w:widowControl/>
              <w:kinsoku w:val="0"/>
              <w:autoSpaceDE w:val="0"/>
              <w:autoSpaceDN w:val="0"/>
              <w:adjustRightInd w:val="0"/>
              <w:snapToGrid w:val="0"/>
              <w:spacing w:before="73" w:line="219" w:lineRule="auto"/>
              <w:ind w:firstLineChars="0" w:firstLine="0"/>
              <w:jc w:val="center"/>
              <w:textAlignment w:val="baseline"/>
              <w:rPr>
                <w:rFonts w:ascii="仿宋" w:eastAsia="仿宋" w:hAnsi="仿宋" w:cs="宋体"/>
                <w:kern w:val="0"/>
                <w:sz w:val="21"/>
                <w:szCs w:val="21"/>
              </w:rPr>
            </w:pPr>
            <w:proofErr w:type="spellStart"/>
            <w:r>
              <w:rPr>
                <w:rFonts w:ascii="仿宋" w:eastAsia="仿宋" w:hAnsi="仿宋" w:cs="宋体"/>
                <w:spacing w:val="4"/>
                <w:kern w:val="0"/>
                <w:sz w:val="21"/>
                <w:szCs w:val="21"/>
              </w:rPr>
              <w:t>年初预算</w:t>
            </w:r>
            <w:r>
              <w:rPr>
                <w:rFonts w:ascii="仿宋" w:eastAsia="仿宋" w:hAnsi="仿宋" w:cs="宋体" w:hint="eastAsia"/>
                <w:spacing w:val="4"/>
                <w:kern w:val="0"/>
                <w:sz w:val="21"/>
                <w:szCs w:val="21"/>
              </w:rPr>
              <w:t>收</w:t>
            </w:r>
            <w:r>
              <w:rPr>
                <w:rFonts w:ascii="仿宋" w:eastAsia="仿宋" w:hAnsi="仿宋" w:cs="宋体"/>
                <w:spacing w:val="4"/>
                <w:kern w:val="0"/>
                <w:sz w:val="21"/>
                <w:szCs w:val="21"/>
              </w:rPr>
              <w:t>入</w:t>
            </w:r>
            <w:proofErr w:type="spellEnd"/>
          </w:p>
        </w:tc>
        <w:tc>
          <w:tcPr>
            <w:tcW w:w="1559" w:type="dxa"/>
            <w:vAlign w:val="center"/>
          </w:tcPr>
          <w:p w:rsidR="001A79DF" w:rsidRDefault="00E70674">
            <w:pPr>
              <w:widowControl/>
              <w:kinsoku w:val="0"/>
              <w:autoSpaceDE w:val="0"/>
              <w:autoSpaceDN w:val="0"/>
              <w:adjustRightInd w:val="0"/>
              <w:snapToGrid w:val="0"/>
              <w:spacing w:before="73" w:line="219" w:lineRule="auto"/>
              <w:ind w:firstLineChars="0" w:firstLine="0"/>
              <w:jc w:val="center"/>
              <w:textAlignment w:val="baseline"/>
              <w:rPr>
                <w:rFonts w:ascii="仿宋" w:eastAsia="仿宋" w:hAnsi="仿宋" w:cs="宋体"/>
                <w:kern w:val="0"/>
                <w:sz w:val="21"/>
                <w:szCs w:val="21"/>
                <w:lang w:eastAsia="zh-CN"/>
              </w:rPr>
            </w:pPr>
            <w:r>
              <w:rPr>
                <w:rFonts w:ascii="仿宋" w:eastAsia="仿宋" w:hAnsi="仿宋" w:cs="宋体"/>
                <w:spacing w:val="3"/>
                <w:kern w:val="0"/>
                <w:sz w:val="21"/>
                <w:szCs w:val="21"/>
                <w:lang w:eastAsia="zh-CN"/>
              </w:rPr>
              <w:t>调整后的全年预算</w:t>
            </w:r>
            <w:r>
              <w:rPr>
                <w:rFonts w:ascii="仿宋" w:eastAsia="仿宋" w:hAnsi="仿宋" w:cs="宋体" w:hint="eastAsia"/>
                <w:spacing w:val="3"/>
                <w:kern w:val="0"/>
                <w:sz w:val="21"/>
                <w:szCs w:val="21"/>
                <w:lang w:eastAsia="zh-CN"/>
              </w:rPr>
              <w:t>收</w:t>
            </w:r>
            <w:r>
              <w:rPr>
                <w:rFonts w:ascii="仿宋" w:eastAsia="仿宋" w:hAnsi="仿宋" w:cs="宋体"/>
                <w:spacing w:val="3"/>
                <w:kern w:val="0"/>
                <w:sz w:val="21"/>
                <w:szCs w:val="21"/>
                <w:lang w:eastAsia="zh-CN"/>
              </w:rPr>
              <w:t>入</w:t>
            </w:r>
          </w:p>
        </w:tc>
        <w:tc>
          <w:tcPr>
            <w:tcW w:w="1276" w:type="dxa"/>
            <w:vAlign w:val="center"/>
          </w:tcPr>
          <w:p w:rsidR="001A79DF" w:rsidRDefault="00E70674">
            <w:pPr>
              <w:widowControl/>
              <w:kinsoku w:val="0"/>
              <w:autoSpaceDE w:val="0"/>
              <w:autoSpaceDN w:val="0"/>
              <w:adjustRightInd w:val="0"/>
              <w:snapToGrid w:val="0"/>
              <w:spacing w:before="63" w:line="219" w:lineRule="auto"/>
              <w:ind w:firstLineChars="0" w:firstLine="0"/>
              <w:jc w:val="center"/>
              <w:textAlignment w:val="baseline"/>
              <w:rPr>
                <w:rFonts w:ascii="仿宋" w:eastAsia="仿宋" w:hAnsi="仿宋" w:cs="宋体"/>
                <w:kern w:val="0"/>
                <w:sz w:val="21"/>
                <w:szCs w:val="21"/>
              </w:rPr>
            </w:pPr>
            <w:proofErr w:type="spellStart"/>
            <w:r>
              <w:rPr>
                <w:rFonts w:ascii="仿宋" w:eastAsia="仿宋" w:hAnsi="仿宋" w:cs="宋体"/>
                <w:spacing w:val="6"/>
                <w:kern w:val="0"/>
                <w:sz w:val="21"/>
                <w:szCs w:val="21"/>
              </w:rPr>
              <w:t>决算支出</w:t>
            </w:r>
            <w:proofErr w:type="spellEnd"/>
          </w:p>
        </w:tc>
        <w:tc>
          <w:tcPr>
            <w:tcW w:w="1275" w:type="dxa"/>
            <w:vAlign w:val="center"/>
          </w:tcPr>
          <w:p w:rsidR="001A79DF" w:rsidRDefault="00E70674">
            <w:pPr>
              <w:widowControl/>
              <w:kinsoku w:val="0"/>
              <w:autoSpaceDE w:val="0"/>
              <w:autoSpaceDN w:val="0"/>
              <w:adjustRightInd w:val="0"/>
              <w:snapToGrid w:val="0"/>
              <w:spacing w:before="73" w:line="220" w:lineRule="auto"/>
              <w:ind w:firstLineChars="0" w:firstLine="0"/>
              <w:jc w:val="center"/>
              <w:textAlignment w:val="baseline"/>
              <w:rPr>
                <w:rFonts w:ascii="仿宋" w:eastAsia="仿宋" w:hAnsi="仿宋" w:cs="宋体"/>
                <w:kern w:val="0"/>
                <w:sz w:val="21"/>
                <w:szCs w:val="21"/>
              </w:rPr>
            </w:pPr>
            <w:proofErr w:type="spellStart"/>
            <w:r>
              <w:rPr>
                <w:rFonts w:ascii="仿宋" w:eastAsia="仿宋" w:hAnsi="仿宋" w:cs="宋体" w:hint="eastAsia"/>
                <w:spacing w:val="3"/>
                <w:kern w:val="0"/>
                <w:sz w:val="21"/>
                <w:szCs w:val="21"/>
              </w:rPr>
              <w:t>年末结转</w:t>
            </w:r>
            <w:proofErr w:type="spellEnd"/>
          </w:p>
        </w:tc>
        <w:tc>
          <w:tcPr>
            <w:tcW w:w="1134" w:type="dxa"/>
            <w:tcBorders>
              <w:right w:val="nil"/>
            </w:tcBorders>
            <w:vAlign w:val="center"/>
          </w:tcPr>
          <w:p w:rsidR="001A79DF" w:rsidRDefault="00E70674">
            <w:pPr>
              <w:widowControl/>
              <w:kinsoku w:val="0"/>
              <w:autoSpaceDE w:val="0"/>
              <w:autoSpaceDN w:val="0"/>
              <w:adjustRightInd w:val="0"/>
              <w:snapToGrid w:val="0"/>
              <w:spacing w:before="63" w:line="219" w:lineRule="auto"/>
              <w:ind w:firstLineChars="0" w:firstLine="0"/>
              <w:jc w:val="center"/>
              <w:textAlignment w:val="baseline"/>
              <w:rPr>
                <w:rFonts w:ascii="仿宋" w:eastAsia="仿宋" w:hAnsi="仿宋" w:cs="宋体"/>
                <w:kern w:val="0"/>
                <w:sz w:val="21"/>
                <w:szCs w:val="21"/>
              </w:rPr>
            </w:pPr>
            <w:proofErr w:type="spellStart"/>
            <w:r>
              <w:rPr>
                <w:rFonts w:ascii="仿宋" w:eastAsia="仿宋" w:hAnsi="仿宋" w:cs="宋体"/>
                <w:spacing w:val="-2"/>
                <w:kern w:val="0"/>
                <w:sz w:val="21"/>
                <w:szCs w:val="21"/>
              </w:rPr>
              <w:t>执行率</w:t>
            </w:r>
            <w:proofErr w:type="spellEnd"/>
          </w:p>
        </w:tc>
      </w:tr>
      <w:tr w:rsidR="001A79DF">
        <w:trPr>
          <w:trHeight w:val="457"/>
        </w:trPr>
        <w:tc>
          <w:tcPr>
            <w:tcW w:w="1060" w:type="dxa"/>
            <w:tcBorders>
              <w:left w:val="nil"/>
            </w:tcBorders>
            <w:vAlign w:val="center"/>
          </w:tcPr>
          <w:p w:rsidR="001A79DF" w:rsidRDefault="00E70674">
            <w:pPr>
              <w:widowControl/>
              <w:kinsoku w:val="0"/>
              <w:autoSpaceDE w:val="0"/>
              <w:autoSpaceDN w:val="0"/>
              <w:adjustRightInd w:val="0"/>
              <w:snapToGrid w:val="0"/>
              <w:spacing w:before="39" w:line="219" w:lineRule="auto"/>
              <w:ind w:left="129" w:firstLineChars="0" w:firstLine="0"/>
              <w:jc w:val="center"/>
              <w:textAlignment w:val="baseline"/>
              <w:rPr>
                <w:rFonts w:ascii="仿宋" w:eastAsia="仿宋" w:hAnsi="仿宋" w:cs="宋体"/>
                <w:kern w:val="0"/>
                <w:sz w:val="21"/>
                <w:szCs w:val="21"/>
              </w:rPr>
            </w:pPr>
            <w:proofErr w:type="spellStart"/>
            <w:r>
              <w:rPr>
                <w:rFonts w:ascii="仿宋" w:eastAsia="仿宋" w:hAnsi="仿宋" w:cs="宋体"/>
                <w:spacing w:val="6"/>
                <w:kern w:val="0"/>
                <w:sz w:val="21"/>
                <w:szCs w:val="21"/>
              </w:rPr>
              <w:t>基本支出</w:t>
            </w:r>
            <w:proofErr w:type="spellEnd"/>
          </w:p>
        </w:tc>
        <w:tc>
          <w:tcPr>
            <w:tcW w:w="1189" w:type="dxa"/>
          </w:tcPr>
          <w:p w:rsidR="001A79DF" w:rsidRDefault="00E70674">
            <w:pPr>
              <w:widowControl/>
              <w:kinsoku w:val="0"/>
              <w:autoSpaceDE w:val="0"/>
              <w:autoSpaceDN w:val="0"/>
              <w:adjustRightInd w:val="0"/>
              <w:snapToGrid w:val="0"/>
              <w:spacing w:before="158" w:line="184" w:lineRule="auto"/>
              <w:ind w:left="305" w:rightChars="90" w:right="270" w:firstLineChars="0" w:firstLine="0"/>
              <w:jc w:val="right"/>
              <w:textAlignment w:val="baseline"/>
              <w:rPr>
                <w:rFonts w:ascii="仿宋" w:eastAsia="仿宋" w:hAnsi="仿宋" w:cs="Arial"/>
                <w:sz w:val="21"/>
                <w:szCs w:val="21"/>
              </w:rPr>
            </w:pPr>
            <w:r>
              <w:rPr>
                <w:rFonts w:ascii="仿宋" w:eastAsia="仿宋" w:hAnsi="仿宋" w:cs="Arial" w:hint="eastAsia"/>
                <w:sz w:val="21"/>
                <w:szCs w:val="21"/>
              </w:rPr>
              <w:t>54.91</w:t>
            </w:r>
          </w:p>
        </w:tc>
        <w:tc>
          <w:tcPr>
            <w:tcW w:w="1560" w:type="dxa"/>
            <w:vAlign w:val="center"/>
          </w:tcPr>
          <w:p w:rsidR="001A79DF" w:rsidRDefault="00E70674">
            <w:pPr>
              <w:widowControl/>
              <w:kinsoku w:val="0"/>
              <w:autoSpaceDE w:val="0"/>
              <w:autoSpaceDN w:val="0"/>
              <w:adjustRightInd w:val="0"/>
              <w:snapToGrid w:val="0"/>
              <w:spacing w:before="158" w:line="184" w:lineRule="auto"/>
              <w:ind w:left="305" w:rightChars="90" w:right="270" w:firstLineChars="0" w:firstLine="0"/>
              <w:jc w:val="right"/>
              <w:textAlignment w:val="baseline"/>
              <w:rPr>
                <w:rFonts w:ascii="仿宋" w:eastAsia="仿宋" w:hAnsi="仿宋" w:cs="宋体"/>
                <w:kern w:val="0"/>
                <w:sz w:val="21"/>
                <w:szCs w:val="21"/>
              </w:rPr>
            </w:pPr>
            <w:r>
              <w:rPr>
                <w:rFonts w:ascii="仿宋" w:eastAsia="仿宋" w:hAnsi="仿宋" w:cs="Arial" w:hint="eastAsia"/>
                <w:sz w:val="21"/>
                <w:szCs w:val="21"/>
              </w:rPr>
              <w:t>10653</w:t>
            </w:r>
          </w:p>
        </w:tc>
        <w:tc>
          <w:tcPr>
            <w:tcW w:w="1559" w:type="dxa"/>
            <w:vAlign w:val="center"/>
          </w:tcPr>
          <w:p w:rsidR="001A79DF" w:rsidRDefault="00E70674">
            <w:pPr>
              <w:widowControl/>
              <w:kinsoku w:val="0"/>
              <w:autoSpaceDE w:val="0"/>
              <w:autoSpaceDN w:val="0"/>
              <w:adjustRightInd w:val="0"/>
              <w:snapToGrid w:val="0"/>
              <w:spacing w:before="158" w:line="184" w:lineRule="auto"/>
              <w:ind w:left="394" w:rightChars="90" w:right="270" w:firstLineChars="0" w:firstLine="0"/>
              <w:jc w:val="right"/>
              <w:textAlignment w:val="baseline"/>
              <w:rPr>
                <w:rFonts w:ascii="仿宋" w:eastAsia="仿宋" w:hAnsi="仿宋" w:cs="宋体"/>
                <w:kern w:val="0"/>
                <w:sz w:val="21"/>
                <w:szCs w:val="21"/>
              </w:rPr>
            </w:pPr>
            <w:r>
              <w:rPr>
                <w:rFonts w:ascii="仿宋" w:eastAsia="仿宋" w:hAnsi="仿宋" w:cs="Arial" w:hint="eastAsia"/>
                <w:sz w:val="21"/>
                <w:szCs w:val="21"/>
              </w:rPr>
              <w:t xml:space="preserve"> 11601.81</w:t>
            </w:r>
          </w:p>
        </w:tc>
        <w:tc>
          <w:tcPr>
            <w:tcW w:w="1276" w:type="dxa"/>
            <w:vAlign w:val="center"/>
          </w:tcPr>
          <w:p w:rsidR="001A79DF" w:rsidRDefault="00E70674">
            <w:pPr>
              <w:widowControl/>
              <w:kinsoku w:val="0"/>
              <w:autoSpaceDE w:val="0"/>
              <w:autoSpaceDN w:val="0"/>
              <w:adjustRightInd w:val="0"/>
              <w:snapToGrid w:val="0"/>
              <w:spacing w:before="158" w:line="184" w:lineRule="auto"/>
              <w:ind w:left="75" w:rightChars="67" w:right="201" w:firstLineChars="0" w:firstLine="0"/>
              <w:jc w:val="right"/>
              <w:textAlignment w:val="baseline"/>
              <w:rPr>
                <w:rFonts w:ascii="仿宋" w:eastAsia="仿宋" w:hAnsi="仿宋" w:cs="宋体"/>
                <w:kern w:val="0"/>
                <w:sz w:val="21"/>
                <w:szCs w:val="21"/>
              </w:rPr>
            </w:pPr>
            <w:r>
              <w:rPr>
                <w:rFonts w:ascii="仿宋" w:eastAsia="仿宋" w:hAnsi="仿宋" w:cs="Arial" w:hint="eastAsia"/>
                <w:sz w:val="21"/>
                <w:szCs w:val="21"/>
              </w:rPr>
              <w:t>11646.69</w:t>
            </w:r>
          </w:p>
        </w:tc>
        <w:tc>
          <w:tcPr>
            <w:tcW w:w="1275" w:type="dxa"/>
            <w:vAlign w:val="center"/>
          </w:tcPr>
          <w:p w:rsidR="001A79DF" w:rsidRDefault="00E70674">
            <w:pPr>
              <w:widowControl/>
              <w:kinsoku w:val="0"/>
              <w:autoSpaceDE w:val="0"/>
              <w:autoSpaceDN w:val="0"/>
              <w:adjustRightInd w:val="0"/>
              <w:snapToGrid w:val="0"/>
              <w:spacing w:before="158" w:line="184" w:lineRule="auto"/>
              <w:ind w:left="505" w:rightChars="41" w:right="123" w:firstLineChars="0" w:firstLine="0"/>
              <w:jc w:val="right"/>
              <w:textAlignment w:val="baseline"/>
              <w:rPr>
                <w:rFonts w:ascii="仿宋" w:eastAsia="仿宋" w:hAnsi="仿宋" w:cs="宋体"/>
                <w:kern w:val="0"/>
                <w:sz w:val="21"/>
                <w:szCs w:val="21"/>
              </w:rPr>
            </w:pPr>
            <w:r>
              <w:rPr>
                <w:rFonts w:ascii="仿宋" w:eastAsia="仿宋" w:hAnsi="仿宋" w:cs="Arial" w:hint="eastAsia"/>
                <w:sz w:val="21"/>
                <w:szCs w:val="21"/>
              </w:rPr>
              <w:t xml:space="preserve">10.03 </w:t>
            </w:r>
          </w:p>
        </w:tc>
        <w:tc>
          <w:tcPr>
            <w:tcW w:w="1134" w:type="dxa"/>
            <w:tcBorders>
              <w:right w:val="nil"/>
            </w:tcBorders>
            <w:vAlign w:val="center"/>
          </w:tcPr>
          <w:p w:rsidR="001A79DF" w:rsidRDefault="00E70674">
            <w:pPr>
              <w:widowControl/>
              <w:kinsoku w:val="0"/>
              <w:autoSpaceDE w:val="0"/>
              <w:autoSpaceDN w:val="0"/>
              <w:adjustRightInd w:val="0"/>
              <w:snapToGrid w:val="0"/>
              <w:spacing w:before="181" w:line="184" w:lineRule="auto"/>
              <w:ind w:left="125" w:rightChars="41" w:right="123" w:firstLineChars="0" w:firstLine="0"/>
              <w:jc w:val="right"/>
              <w:textAlignment w:val="baseline"/>
              <w:rPr>
                <w:rFonts w:ascii="仿宋" w:eastAsia="仿宋" w:hAnsi="仿宋" w:cs="宋体"/>
                <w:kern w:val="0"/>
                <w:sz w:val="21"/>
                <w:szCs w:val="21"/>
              </w:rPr>
            </w:pPr>
            <w:r>
              <w:rPr>
                <w:rFonts w:ascii="仿宋" w:eastAsia="仿宋" w:hAnsi="仿宋" w:cs="Arial" w:hint="eastAsia"/>
                <w:sz w:val="21"/>
                <w:szCs w:val="21"/>
              </w:rPr>
              <w:t>99.91%</w:t>
            </w:r>
          </w:p>
        </w:tc>
      </w:tr>
      <w:tr w:rsidR="001A79DF">
        <w:trPr>
          <w:trHeight w:val="468"/>
        </w:trPr>
        <w:tc>
          <w:tcPr>
            <w:tcW w:w="1060" w:type="dxa"/>
            <w:tcBorders>
              <w:left w:val="nil"/>
            </w:tcBorders>
            <w:vAlign w:val="center"/>
          </w:tcPr>
          <w:p w:rsidR="001A79DF" w:rsidRDefault="00E70674">
            <w:pPr>
              <w:widowControl/>
              <w:kinsoku w:val="0"/>
              <w:autoSpaceDE w:val="0"/>
              <w:autoSpaceDN w:val="0"/>
              <w:adjustRightInd w:val="0"/>
              <w:snapToGrid w:val="0"/>
              <w:spacing w:before="64" w:line="220" w:lineRule="auto"/>
              <w:ind w:left="129" w:firstLineChars="0" w:firstLine="0"/>
              <w:jc w:val="center"/>
              <w:textAlignment w:val="baseline"/>
              <w:rPr>
                <w:rFonts w:ascii="仿宋" w:eastAsia="仿宋" w:hAnsi="仿宋" w:cs="宋体"/>
                <w:kern w:val="0"/>
                <w:sz w:val="21"/>
                <w:szCs w:val="21"/>
              </w:rPr>
            </w:pPr>
            <w:proofErr w:type="spellStart"/>
            <w:r>
              <w:rPr>
                <w:rFonts w:ascii="仿宋" w:eastAsia="仿宋" w:hAnsi="仿宋" w:cs="宋体"/>
                <w:spacing w:val="6"/>
                <w:kern w:val="0"/>
                <w:sz w:val="21"/>
                <w:szCs w:val="21"/>
              </w:rPr>
              <w:t>项目支出</w:t>
            </w:r>
            <w:proofErr w:type="spellEnd"/>
          </w:p>
        </w:tc>
        <w:tc>
          <w:tcPr>
            <w:tcW w:w="1189" w:type="dxa"/>
          </w:tcPr>
          <w:p w:rsidR="001A79DF" w:rsidRDefault="001A79DF">
            <w:pPr>
              <w:widowControl/>
              <w:kinsoku w:val="0"/>
              <w:autoSpaceDE w:val="0"/>
              <w:autoSpaceDN w:val="0"/>
              <w:adjustRightInd w:val="0"/>
              <w:snapToGrid w:val="0"/>
              <w:spacing w:before="171" w:line="184" w:lineRule="auto"/>
              <w:ind w:left="355" w:rightChars="90" w:right="270" w:firstLineChars="0" w:firstLine="0"/>
              <w:jc w:val="right"/>
              <w:textAlignment w:val="baseline"/>
              <w:rPr>
                <w:rFonts w:ascii="仿宋" w:eastAsia="仿宋" w:hAnsi="仿宋" w:cs="Arial"/>
                <w:sz w:val="21"/>
                <w:szCs w:val="21"/>
              </w:rPr>
            </w:pPr>
          </w:p>
        </w:tc>
        <w:tc>
          <w:tcPr>
            <w:tcW w:w="1560" w:type="dxa"/>
            <w:vAlign w:val="center"/>
          </w:tcPr>
          <w:p w:rsidR="001A79DF" w:rsidRDefault="00E70674">
            <w:pPr>
              <w:widowControl/>
              <w:kinsoku w:val="0"/>
              <w:autoSpaceDE w:val="0"/>
              <w:autoSpaceDN w:val="0"/>
              <w:adjustRightInd w:val="0"/>
              <w:snapToGrid w:val="0"/>
              <w:spacing w:before="171" w:line="184" w:lineRule="auto"/>
              <w:ind w:left="355" w:rightChars="90" w:right="270" w:firstLineChars="0" w:firstLine="0"/>
              <w:jc w:val="right"/>
              <w:textAlignment w:val="baseline"/>
              <w:rPr>
                <w:rFonts w:ascii="仿宋" w:eastAsia="仿宋" w:hAnsi="仿宋" w:cs="宋体"/>
                <w:kern w:val="0"/>
                <w:sz w:val="21"/>
                <w:szCs w:val="21"/>
              </w:rPr>
            </w:pPr>
            <w:r>
              <w:rPr>
                <w:rFonts w:ascii="仿宋" w:eastAsia="仿宋" w:hAnsi="仿宋" w:cs="Arial" w:hint="eastAsia"/>
                <w:sz w:val="21"/>
                <w:szCs w:val="21"/>
              </w:rPr>
              <w:t>1032.42</w:t>
            </w:r>
          </w:p>
        </w:tc>
        <w:tc>
          <w:tcPr>
            <w:tcW w:w="1559" w:type="dxa"/>
            <w:vAlign w:val="center"/>
          </w:tcPr>
          <w:p w:rsidR="001A79DF" w:rsidRDefault="00E70674">
            <w:pPr>
              <w:widowControl/>
              <w:kinsoku w:val="0"/>
              <w:autoSpaceDE w:val="0"/>
              <w:autoSpaceDN w:val="0"/>
              <w:adjustRightInd w:val="0"/>
              <w:snapToGrid w:val="0"/>
              <w:spacing w:before="112" w:line="183" w:lineRule="auto"/>
              <w:ind w:left="444" w:rightChars="90" w:right="270" w:firstLineChars="0" w:firstLine="0"/>
              <w:jc w:val="right"/>
              <w:textAlignment w:val="baseline"/>
              <w:rPr>
                <w:rFonts w:ascii="仿宋" w:eastAsia="仿宋" w:hAnsi="仿宋" w:cs="宋体"/>
                <w:kern w:val="0"/>
                <w:sz w:val="21"/>
                <w:szCs w:val="21"/>
              </w:rPr>
            </w:pPr>
            <w:r>
              <w:rPr>
                <w:rFonts w:ascii="仿宋" w:eastAsia="仿宋" w:hAnsi="仿宋" w:cs="Arial" w:hint="eastAsia"/>
                <w:sz w:val="21"/>
                <w:szCs w:val="21"/>
              </w:rPr>
              <w:t xml:space="preserve"> 2087.53</w:t>
            </w:r>
          </w:p>
        </w:tc>
        <w:tc>
          <w:tcPr>
            <w:tcW w:w="1276" w:type="dxa"/>
            <w:vAlign w:val="center"/>
          </w:tcPr>
          <w:p w:rsidR="001A79DF" w:rsidRDefault="00E70674">
            <w:pPr>
              <w:widowControl/>
              <w:kinsoku w:val="0"/>
              <w:autoSpaceDE w:val="0"/>
              <w:autoSpaceDN w:val="0"/>
              <w:adjustRightInd w:val="0"/>
              <w:snapToGrid w:val="0"/>
              <w:spacing w:before="171" w:line="184" w:lineRule="auto"/>
              <w:ind w:left="125" w:rightChars="67" w:right="201" w:firstLineChars="0" w:firstLine="0"/>
              <w:jc w:val="right"/>
              <w:textAlignment w:val="baseline"/>
              <w:rPr>
                <w:rFonts w:ascii="仿宋" w:eastAsia="仿宋" w:hAnsi="仿宋" w:cs="宋体"/>
                <w:kern w:val="0"/>
                <w:sz w:val="21"/>
                <w:szCs w:val="21"/>
              </w:rPr>
            </w:pPr>
            <w:r>
              <w:rPr>
                <w:rFonts w:ascii="仿宋" w:eastAsia="仿宋" w:hAnsi="仿宋" w:cs="Arial" w:hint="eastAsia"/>
                <w:sz w:val="21"/>
                <w:szCs w:val="21"/>
              </w:rPr>
              <w:t>2087.53</w:t>
            </w:r>
          </w:p>
        </w:tc>
        <w:tc>
          <w:tcPr>
            <w:tcW w:w="1275" w:type="dxa"/>
            <w:vAlign w:val="center"/>
          </w:tcPr>
          <w:p w:rsidR="001A79DF" w:rsidRDefault="001A79DF">
            <w:pPr>
              <w:widowControl/>
              <w:kinsoku w:val="0"/>
              <w:autoSpaceDE w:val="0"/>
              <w:autoSpaceDN w:val="0"/>
              <w:adjustRightInd w:val="0"/>
              <w:snapToGrid w:val="0"/>
              <w:spacing w:before="111" w:line="184" w:lineRule="auto"/>
              <w:ind w:left="555" w:rightChars="41" w:right="123" w:firstLineChars="0" w:firstLine="0"/>
              <w:jc w:val="right"/>
              <w:textAlignment w:val="baseline"/>
              <w:rPr>
                <w:rFonts w:ascii="仿宋" w:eastAsia="仿宋" w:hAnsi="仿宋" w:cs="宋体"/>
                <w:kern w:val="0"/>
                <w:sz w:val="21"/>
                <w:szCs w:val="21"/>
              </w:rPr>
            </w:pPr>
          </w:p>
        </w:tc>
        <w:tc>
          <w:tcPr>
            <w:tcW w:w="1134" w:type="dxa"/>
            <w:tcBorders>
              <w:right w:val="nil"/>
            </w:tcBorders>
            <w:vAlign w:val="center"/>
          </w:tcPr>
          <w:p w:rsidR="001A79DF" w:rsidRDefault="00E70674">
            <w:pPr>
              <w:widowControl/>
              <w:kinsoku w:val="0"/>
              <w:autoSpaceDE w:val="0"/>
              <w:autoSpaceDN w:val="0"/>
              <w:adjustRightInd w:val="0"/>
              <w:snapToGrid w:val="0"/>
              <w:spacing w:before="124" w:line="184" w:lineRule="auto"/>
              <w:ind w:left="174" w:rightChars="41" w:right="123" w:firstLineChars="0" w:firstLine="0"/>
              <w:jc w:val="right"/>
              <w:textAlignment w:val="baseline"/>
              <w:rPr>
                <w:rFonts w:ascii="仿宋" w:eastAsia="仿宋" w:hAnsi="仿宋" w:cs="宋体"/>
                <w:kern w:val="0"/>
                <w:sz w:val="21"/>
                <w:szCs w:val="21"/>
              </w:rPr>
            </w:pPr>
            <w:r>
              <w:rPr>
                <w:rFonts w:ascii="仿宋" w:eastAsia="仿宋" w:hAnsi="仿宋" w:cs="Arial" w:hint="eastAsia"/>
                <w:sz w:val="21"/>
                <w:szCs w:val="21"/>
              </w:rPr>
              <w:t>100.00%</w:t>
            </w:r>
          </w:p>
        </w:tc>
      </w:tr>
      <w:tr w:rsidR="001A79DF">
        <w:trPr>
          <w:trHeight w:val="532"/>
        </w:trPr>
        <w:tc>
          <w:tcPr>
            <w:tcW w:w="1060" w:type="dxa"/>
            <w:tcBorders>
              <w:left w:val="nil"/>
            </w:tcBorders>
            <w:vAlign w:val="center"/>
          </w:tcPr>
          <w:p w:rsidR="001A79DF" w:rsidRDefault="00E70674">
            <w:pPr>
              <w:widowControl/>
              <w:kinsoku w:val="0"/>
              <w:autoSpaceDE w:val="0"/>
              <w:autoSpaceDN w:val="0"/>
              <w:adjustRightInd w:val="0"/>
              <w:snapToGrid w:val="0"/>
              <w:spacing w:before="77" w:line="221" w:lineRule="auto"/>
              <w:ind w:left="329" w:firstLineChars="0" w:firstLine="0"/>
              <w:jc w:val="center"/>
              <w:textAlignment w:val="baseline"/>
              <w:rPr>
                <w:rFonts w:ascii="仿宋" w:eastAsia="仿宋" w:hAnsi="仿宋" w:cs="宋体"/>
                <w:kern w:val="0"/>
                <w:sz w:val="21"/>
                <w:szCs w:val="21"/>
              </w:rPr>
            </w:pPr>
            <w:proofErr w:type="spellStart"/>
            <w:r>
              <w:rPr>
                <w:rFonts w:ascii="仿宋" w:eastAsia="仿宋" w:hAnsi="仿宋" w:cs="宋体"/>
                <w:spacing w:val="-3"/>
                <w:kern w:val="0"/>
                <w:sz w:val="21"/>
                <w:szCs w:val="21"/>
              </w:rPr>
              <w:t>合计</w:t>
            </w:r>
            <w:proofErr w:type="spellEnd"/>
          </w:p>
        </w:tc>
        <w:tc>
          <w:tcPr>
            <w:tcW w:w="1189" w:type="dxa"/>
          </w:tcPr>
          <w:p w:rsidR="001A79DF" w:rsidRDefault="00E70674">
            <w:pPr>
              <w:widowControl/>
              <w:kinsoku w:val="0"/>
              <w:autoSpaceDE w:val="0"/>
              <w:autoSpaceDN w:val="0"/>
              <w:adjustRightInd w:val="0"/>
              <w:snapToGrid w:val="0"/>
              <w:spacing w:before="200" w:line="184" w:lineRule="auto"/>
              <w:ind w:left="307" w:rightChars="90" w:right="270" w:firstLineChars="0" w:firstLine="0"/>
              <w:jc w:val="right"/>
              <w:textAlignment w:val="baseline"/>
              <w:rPr>
                <w:rFonts w:ascii="仿宋" w:eastAsia="仿宋" w:hAnsi="仿宋" w:cs="Arial"/>
                <w:b/>
                <w:bCs/>
                <w:sz w:val="21"/>
                <w:szCs w:val="21"/>
              </w:rPr>
            </w:pPr>
            <w:r>
              <w:rPr>
                <w:rFonts w:ascii="仿宋" w:eastAsia="仿宋" w:hAnsi="仿宋" w:cs="Arial" w:hint="eastAsia"/>
                <w:b/>
                <w:bCs/>
                <w:sz w:val="21"/>
                <w:szCs w:val="21"/>
              </w:rPr>
              <w:t>54.91</w:t>
            </w:r>
          </w:p>
        </w:tc>
        <w:tc>
          <w:tcPr>
            <w:tcW w:w="1560" w:type="dxa"/>
            <w:vAlign w:val="center"/>
          </w:tcPr>
          <w:p w:rsidR="001A79DF" w:rsidRDefault="00E70674">
            <w:pPr>
              <w:widowControl/>
              <w:kinsoku w:val="0"/>
              <w:autoSpaceDE w:val="0"/>
              <w:autoSpaceDN w:val="0"/>
              <w:adjustRightInd w:val="0"/>
              <w:snapToGrid w:val="0"/>
              <w:spacing w:before="200" w:line="184" w:lineRule="auto"/>
              <w:ind w:left="307" w:rightChars="90" w:right="270" w:firstLineChars="0" w:firstLine="0"/>
              <w:jc w:val="right"/>
              <w:textAlignment w:val="baseline"/>
              <w:rPr>
                <w:rFonts w:ascii="仿宋" w:eastAsia="仿宋" w:hAnsi="仿宋" w:cs="宋体"/>
                <w:kern w:val="0"/>
                <w:sz w:val="21"/>
                <w:szCs w:val="21"/>
              </w:rPr>
            </w:pPr>
            <w:r>
              <w:rPr>
                <w:rFonts w:ascii="仿宋" w:eastAsia="仿宋" w:hAnsi="仿宋" w:cs="Arial" w:hint="eastAsia"/>
                <w:b/>
                <w:bCs/>
                <w:sz w:val="21"/>
                <w:szCs w:val="21"/>
              </w:rPr>
              <w:t>11685.42</w:t>
            </w:r>
          </w:p>
        </w:tc>
        <w:tc>
          <w:tcPr>
            <w:tcW w:w="1559" w:type="dxa"/>
            <w:vAlign w:val="center"/>
          </w:tcPr>
          <w:p w:rsidR="001A79DF" w:rsidRDefault="00E70674">
            <w:pPr>
              <w:widowControl/>
              <w:kinsoku w:val="0"/>
              <w:autoSpaceDE w:val="0"/>
              <w:autoSpaceDN w:val="0"/>
              <w:adjustRightInd w:val="0"/>
              <w:snapToGrid w:val="0"/>
              <w:spacing w:before="174" w:line="184" w:lineRule="auto"/>
              <w:ind w:left="397" w:rightChars="90" w:right="270" w:firstLineChars="0" w:firstLine="0"/>
              <w:jc w:val="right"/>
              <w:textAlignment w:val="baseline"/>
              <w:rPr>
                <w:rFonts w:ascii="仿宋" w:eastAsia="仿宋" w:hAnsi="仿宋" w:cs="宋体"/>
                <w:kern w:val="0"/>
                <w:sz w:val="21"/>
                <w:szCs w:val="21"/>
              </w:rPr>
            </w:pPr>
            <w:r>
              <w:rPr>
                <w:rFonts w:ascii="仿宋" w:eastAsia="仿宋" w:hAnsi="仿宋" w:cs="Arial" w:hint="eastAsia"/>
                <w:b/>
                <w:bCs/>
                <w:sz w:val="21"/>
                <w:szCs w:val="21"/>
              </w:rPr>
              <w:t>13689.34</w:t>
            </w:r>
          </w:p>
        </w:tc>
        <w:tc>
          <w:tcPr>
            <w:tcW w:w="1276" w:type="dxa"/>
            <w:vAlign w:val="center"/>
          </w:tcPr>
          <w:p w:rsidR="001A79DF" w:rsidRDefault="00E70674">
            <w:pPr>
              <w:widowControl/>
              <w:kinsoku w:val="0"/>
              <w:autoSpaceDE w:val="0"/>
              <w:autoSpaceDN w:val="0"/>
              <w:adjustRightInd w:val="0"/>
              <w:snapToGrid w:val="0"/>
              <w:spacing w:before="200" w:line="184" w:lineRule="auto"/>
              <w:ind w:left="77" w:rightChars="67" w:right="201" w:firstLineChars="0" w:firstLine="0"/>
              <w:jc w:val="right"/>
              <w:textAlignment w:val="baseline"/>
              <w:rPr>
                <w:rFonts w:ascii="仿宋" w:eastAsia="仿宋" w:hAnsi="仿宋" w:cs="宋体"/>
                <w:kern w:val="0"/>
                <w:sz w:val="21"/>
                <w:szCs w:val="21"/>
              </w:rPr>
            </w:pPr>
            <w:r>
              <w:rPr>
                <w:rFonts w:ascii="仿宋" w:eastAsia="仿宋" w:hAnsi="仿宋" w:cs="Arial" w:hint="eastAsia"/>
                <w:b/>
                <w:bCs/>
                <w:sz w:val="21"/>
                <w:szCs w:val="21"/>
              </w:rPr>
              <w:t xml:space="preserve">13734.22 </w:t>
            </w:r>
          </w:p>
        </w:tc>
        <w:tc>
          <w:tcPr>
            <w:tcW w:w="1275" w:type="dxa"/>
            <w:vAlign w:val="center"/>
          </w:tcPr>
          <w:p w:rsidR="001A79DF" w:rsidRDefault="00E70674">
            <w:pPr>
              <w:widowControl/>
              <w:kinsoku w:val="0"/>
              <w:autoSpaceDE w:val="0"/>
              <w:autoSpaceDN w:val="0"/>
              <w:adjustRightInd w:val="0"/>
              <w:snapToGrid w:val="0"/>
              <w:spacing w:before="120" w:line="184" w:lineRule="auto"/>
              <w:ind w:left="507" w:rightChars="41" w:right="123" w:firstLineChars="0" w:firstLine="0"/>
              <w:jc w:val="right"/>
              <w:textAlignment w:val="baseline"/>
              <w:rPr>
                <w:rFonts w:ascii="仿宋" w:eastAsia="仿宋" w:hAnsi="仿宋" w:cs="宋体"/>
                <w:kern w:val="0"/>
                <w:sz w:val="21"/>
                <w:szCs w:val="21"/>
              </w:rPr>
            </w:pPr>
            <w:r>
              <w:rPr>
                <w:rFonts w:ascii="仿宋" w:eastAsia="仿宋" w:hAnsi="仿宋" w:cs="Arial" w:hint="eastAsia"/>
                <w:b/>
                <w:bCs/>
                <w:sz w:val="21"/>
                <w:szCs w:val="21"/>
              </w:rPr>
              <w:t>10.03</w:t>
            </w:r>
          </w:p>
        </w:tc>
        <w:tc>
          <w:tcPr>
            <w:tcW w:w="1134" w:type="dxa"/>
            <w:tcBorders>
              <w:right w:val="nil"/>
            </w:tcBorders>
            <w:vAlign w:val="center"/>
          </w:tcPr>
          <w:p w:rsidR="001A79DF" w:rsidRDefault="00E70674">
            <w:pPr>
              <w:widowControl/>
              <w:kinsoku w:val="0"/>
              <w:autoSpaceDE w:val="0"/>
              <w:autoSpaceDN w:val="0"/>
              <w:adjustRightInd w:val="0"/>
              <w:snapToGrid w:val="0"/>
              <w:spacing w:before="154" w:line="184" w:lineRule="auto"/>
              <w:ind w:left="127" w:rightChars="41" w:right="123" w:firstLineChars="0" w:firstLine="0"/>
              <w:jc w:val="right"/>
              <w:textAlignment w:val="baseline"/>
              <w:rPr>
                <w:rFonts w:ascii="仿宋" w:eastAsia="仿宋" w:hAnsi="仿宋" w:cs="宋体"/>
                <w:kern w:val="0"/>
                <w:sz w:val="21"/>
                <w:szCs w:val="21"/>
              </w:rPr>
            </w:pPr>
            <w:r>
              <w:rPr>
                <w:rFonts w:ascii="仿宋" w:eastAsia="仿宋" w:hAnsi="仿宋" w:cs="Arial" w:hint="eastAsia"/>
                <w:b/>
                <w:bCs/>
                <w:sz w:val="21"/>
                <w:szCs w:val="21"/>
              </w:rPr>
              <w:t>99.93%</w:t>
            </w:r>
          </w:p>
        </w:tc>
      </w:tr>
    </w:tbl>
    <w:p w:rsidR="001A79DF" w:rsidRDefault="00E70674">
      <w:pPr>
        <w:keepNext/>
        <w:keepLines/>
        <w:ind w:firstLine="640"/>
        <w:outlineLvl w:val="2"/>
        <w:rPr>
          <w:rFonts w:ascii="仿宋" w:eastAsia="仿宋" w:hAnsi="仿宋" w:cs="Times New Roman"/>
          <w:bCs/>
          <w:sz w:val="32"/>
          <w:szCs w:val="32"/>
        </w:rPr>
      </w:pPr>
      <w:r>
        <w:rPr>
          <w:rFonts w:ascii="仿宋" w:eastAsia="仿宋" w:hAnsi="仿宋" w:cs="Times New Roman"/>
          <w:bCs/>
          <w:sz w:val="32"/>
          <w:szCs w:val="32"/>
        </w:rPr>
        <w:t>2</w:t>
      </w:r>
      <w:r>
        <w:rPr>
          <w:rFonts w:ascii="仿宋" w:eastAsia="仿宋" w:hAnsi="仿宋" w:cs="Times New Roman" w:hint="eastAsia"/>
          <w:bCs/>
          <w:sz w:val="32"/>
          <w:szCs w:val="32"/>
        </w:rPr>
        <w:t>.</w:t>
      </w:r>
      <w:r>
        <w:rPr>
          <w:rFonts w:ascii="仿宋" w:eastAsia="仿宋" w:hAnsi="仿宋" w:cs="Times New Roman"/>
          <w:bCs/>
          <w:sz w:val="32"/>
          <w:szCs w:val="32"/>
        </w:rPr>
        <w:t>“</w:t>
      </w:r>
      <w:r>
        <w:rPr>
          <w:rFonts w:ascii="仿宋" w:eastAsia="仿宋" w:hAnsi="仿宋" w:cs="Times New Roman" w:hint="eastAsia"/>
          <w:bCs/>
          <w:sz w:val="32"/>
          <w:szCs w:val="32"/>
        </w:rPr>
        <w:t>三公经费</w:t>
      </w:r>
      <w:r>
        <w:rPr>
          <w:rFonts w:ascii="仿宋" w:eastAsia="仿宋" w:hAnsi="仿宋" w:cs="Times New Roman"/>
          <w:bCs/>
          <w:sz w:val="32"/>
          <w:szCs w:val="32"/>
        </w:rPr>
        <w:t>”</w:t>
      </w:r>
      <w:r>
        <w:rPr>
          <w:rFonts w:ascii="仿宋" w:eastAsia="仿宋" w:hAnsi="仿宋" w:cs="Times New Roman" w:hint="eastAsia"/>
          <w:bCs/>
          <w:sz w:val="32"/>
          <w:szCs w:val="32"/>
        </w:rPr>
        <w:t>情况</w:t>
      </w:r>
    </w:p>
    <w:p w:rsidR="001A79DF" w:rsidRDefault="00E70674">
      <w:pPr>
        <w:spacing w:line="560" w:lineRule="exact"/>
        <w:ind w:firstLine="640"/>
        <w:rPr>
          <w:rFonts w:ascii="仿宋" w:eastAsia="仿宋" w:hAnsi="仿宋" w:cs="Times New Roman"/>
          <w:sz w:val="32"/>
          <w:szCs w:val="32"/>
        </w:rPr>
      </w:pPr>
      <w:proofErr w:type="gramStart"/>
      <w:r>
        <w:rPr>
          <w:rFonts w:ascii="Times New Roman" w:hAnsi="Times New Roman" w:cs="方正仿宋_GBK" w:hint="eastAsia"/>
          <w:sz w:val="32"/>
          <w:szCs w:val="32"/>
        </w:rPr>
        <w:t>市发改委</w:t>
      </w:r>
      <w:proofErr w:type="gramEnd"/>
      <w:r>
        <w:rPr>
          <w:rFonts w:ascii="Times New Roman" w:hAnsi="Times New Roman" w:cs="方正仿宋_GBK" w:hint="eastAsia"/>
          <w:sz w:val="32"/>
          <w:szCs w:val="32"/>
        </w:rPr>
        <w:t>（本级）</w:t>
      </w:r>
      <w:r>
        <w:rPr>
          <w:rFonts w:ascii="Times New Roman" w:hAnsi="Times New Roman" w:cs="方正仿宋_GBK"/>
          <w:sz w:val="32"/>
          <w:szCs w:val="32"/>
        </w:rPr>
        <w:t>2025</w:t>
      </w:r>
      <w:r>
        <w:rPr>
          <w:rFonts w:ascii="Times New Roman" w:hAnsi="Times New Roman" w:cs="方正仿宋_GBK" w:hint="eastAsia"/>
          <w:sz w:val="32"/>
          <w:szCs w:val="32"/>
        </w:rPr>
        <w:t>年度“三公”经费年初预算</w:t>
      </w:r>
      <w:r>
        <w:rPr>
          <w:rFonts w:ascii="Times New Roman" w:hAnsi="Times New Roman" w:cs="方正仿宋_GBK"/>
          <w:sz w:val="32"/>
          <w:szCs w:val="32"/>
        </w:rPr>
        <w:t>19.72</w:t>
      </w:r>
      <w:r>
        <w:rPr>
          <w:rFonts w:ascii="Times New Roman" w:hAnsi="Times New Roman" w:cs="方正仿宋_GBK" w:hint="eastAsia"/>
          <w:sz w:val="32"/>
          <w:szCs w:val="32"/>
        </w:rPr>
        <w:t>万元，其中：公务用车购置及运行维护费</w:t>
      </w:r>
      <w:r>
        <w:rPr>
          <w:rFonts w:ascii="Times New Roman" w:hAnsi="Times New Roman" w:cs="方正仿宋_GBK"/>
          <w:sz w:val="32"/>
          <w:szCs w:val="32"/>
        </w:rPr>
        <w:t>9.22</w:t>
      </w:r>
      <w:r>
        <w:rPr>
          <w:rFonts w:ascii="Times New Roman" w:hAnsi="Times New Roman" w:cs="方正仿宋_GBK" w:hint="eastAsia"/>
          <w:sz w:val="32"/>
          <w:szCs w:val="32"/>
        </w:rPr>
        <w:t>万元，公务接待费</w:t>
      </w:r>
      <w:r>
        <w:rPr>
          <w:rFonts w:ascii="Times New Roman" w:hAnsi="Times New Roman" w:cs="方正仿宋_GBK"/>
          <w:sz w:val="32"/>
          <w:szCs w:val="32"/>
        </w:rPr>
        <w:t>10.5</w:t>
      </w:r>
      <w:r>
        <w:rPr>
          <w:rFonts w:ascii="Times New Roman" w:hAnsi="Times New Roman" w:cs="方正仿宋_GBK" w:hint="eastAsia"/>
          <w:sz w:val="32"/>
          <w:szCs w:val="32"/>
        </w:rPr>
        <w:t>万元。全年预算数为</w:t>
      </w:r>
      <w:r>
        <w:rPr>
          <w:rFonts w:ascii="Times New Roman" w:hAnsi="Times New Roman" w:cs="方正仿宋_GBK"/>
          <w:sz w:val="32"/>
          <w:szCs w:val="32"/>
        </w:rPr>
        <w:t>24.78</w:t>
      </w:r>
      <w:r>
        <w:rPr>
          <w:rFonts w:ascii="Times New Roman" w:hAnsi="Times New Roman" w:cs="方正仿宋_GBK" w:hint="eastAsia"/>
          <w:sz w:val="32"/>
          <w:szCs w:val="32"/>
        </w:rPr>
        <w:t>万元，全年预算数较年初预算增加</w:t>
      </w:r>
      <w:r>
        <w:rPr>
          <w:rFonts w:ascii="Times New Roman" w:hAnsi="Times New Roman" w:cs="方正仿宋_GBK"/>
          <w:sz w:val="32"/>
          <w:szCs w:val="32"/>
        </w:rPr>
        <w:t>5.0</w:t>
      </w:r>
      <w:r>
        <w:rPr>
          <w:rFonts w:ascii="Times New Roman" w:hAnsi="Times New Roman" w:cs="方正仿宋_GBK" w:hint="eastAsia"/>
          <w:sz w:val="32"/>
          <w:szCs w:val="32"/>
        </w:rPr>
        <w:t>5</w:t>
      </w:r>
      <w:r>
        <w:rPr>
          <w:rFonts w:ascii="Times New Roman" w:hAnsi="Times New Roman" w:cs="方正仿宋_GBK" w:hint="eastAsia"/>
          <w:sz w:val="32"/>
          <w:szCs w:val="32"/>
        </w:rPr>
        <w:t>万元，增加率为</w:t>
      </w:r>
      <w:r>
        <w:rPr>
          <w:rFonts w:ascii="Times New Roman" w:hAnsi="Times New Roman" w:cs="方正仿宋_GBK"/>
          <w:sz w:val="32"/>
          <w:szCs w:val="32"/>
        </w:rPr>
        <w:t>25.66%</w:t>
      </w:r>
      <w:r>
        <w:rPr>
          <w:rFonts w:ascii="Times New Roman" w:hAnsi="Times New Roman" w:cs="方正仿宋_GBK" w:hint="eastAsia"/>
          <w:sz w:val="32"/>
          <w:szCs w:val="32"/>
        </w:rPr>
        <w:t>，主要原因是新增因公出国（境）任务。决算支出</w:t>
      </w:r>
      <w:r>
        <w:rPr>
          <w:rFonts w:ascii="Times New Roman" w:hAnsi="Times New Roman" w:cs="方正仿宋_GBK"/>
          <w:sz w:val="32"/>
          <w:szCs w:val="32"/>
        </w:rPr>
        <w:t>24.7</w:t>
      </w:r>
      <w:r>
        <w:rPr>
          <w:rFonts w:ascii="Times New Roman" w:hAnsi="Times New Roman" w:cs="方正仿宋_GBK" w:hint="eastAsia"/>
          <w:sz w:val="32"/>
          <w:szCs w:val="32"/>
        </w:rPr>
        <w:t>7</w:t>
      </w:r>
      <w:r>
        <w:rPr>
          <w:rFonts w:ascii="Times New Roman" w:hAnsi="Times New Roman" w:cs="方正仿宋_GBK" w:hint="eastAsia"/>
          <w:sz w:val="32"/>
          <w:szCs w:val="32"/>
        </w:rPr>
        <w:t>万元，完成年初预算的</w:t>
      </w:r>
      <w:r>
        <w:rPr>
          <w:rFonts w:ascii="Times New Roman" w:hAnsi="Times New Roman" w:cs="方正仿宋_GBK"/>
          <w:sz w:val="32"/>
          <w:szCs w:val="32"/>
        </w:rPr>
        <w:t>125.66%</w:t>
      </w:r>
      <w:r>
        <w:rPr>
          <w:rFonts w:ascii="Times New Roman" w:hAnsi="Times New Roman" w:cs="方正仿宋_GBK" w:hint="eastAsia"/>
          <w:sz w:val="32"/>
          <w:szCs w:val="32"/>
        </w:rPr>
        <w:t>，主要原因是新增因公出国（境）任务。其中：因公出国（境）费支出</w:t>
      </w:r>
      <w:r>
        <w:rPr>
          <w:rFonts w:ascii="Times New Roman" w:hAnsi="Times New Roman" w:cs="方正仿宋_GBK"/>
          <w:sz w:val="32"/>
          <w:szCs w:val="32"/>
        </w:rPr>
        <w:t>9.36</w:t>
      </w:r>
      <w:r>
        <w:rPr>
          <w:rFonts w:ascii="Times New Roman" w:hAnsi="Times New Roman" w:cs="方正仿宋_GBK" w:hint="eastAsia"/>
          <w:sz w:val="32"/>
          <w:szCs w:val="32"/>
        </w:rPr>
        <w:t>万元，公务用车购置及运行维护费支出</w:t>
      </w:r>
      <w:r>
        <w:rPr>
          <w:rFonts w:ascii="Times New Roman" w:hAnsi="Times New Roman" w:cs="方正仿宋_GBK"/>
          <w:sz w:val="32"/>
          <w:szCs w:val="32"/>
        </w:rPr>
        <w:t>9.22</w:t>
      </w:r>
      <w:r>
        <w:rPr>
          <w:rFonts w:ascii="Times New Roman" w:hAnsi="Times New Roman" w:cs="方正仿宋_GBK" w:hint="eastAsia"/>
          <w:sz w:val="32"/>
          <w:szCs w:val="32"/>
        </w:rPr>
        <w:t>万元，公务接待费支出</w:t>
      </w:r>
      <w:r>
        <w:rPr>
          <w:rFonts w:ascii="Times New Roman" w:hAnsi="Times New Roman" w:cs="方正仿宋_GBK"/>
          <w:sz w:val="32"/>
          <w:szCs w:val="32"/>
        </w:rPr>
        <w:t>6.19</w:t>
      </w:r>
      <w:r>
        <w:rPr>
          <w:rFonts w:ascii="Times New Roman" w:hAnsi="Times New Roman" w:cs="方正仿宋_GBK" w:hint="eastAsia"/>
          <w:sz w:val="32"/>
          <w:szCs w:val="32"/>
        </w:rPr>
        <w:t>万元。</w:t>
      </w:r>
      <w:r>
        <w:rPr>
          <w:rFonts w:ascii="仿宋" w:eastAsia="仿宋" w:hAnsi="仿宋" w:cs="Times New Roman" w:hint="eastAsia"/>
          <w:sz w:val="32"/>
          <w:szCs w:val="32"/>
        </w:rPr>
        <w:t>具体内容详见表</w:t>
      </w:r>
      <w:r>
        <w:rPr>
          <w:rFonts w:ascii="仿宋" w:eastAsia="仿宋" w:hAnsi="仿宋" w:cs="Times New Roman"/>
          <w:sz w:val="32"/>
          <w:szCs w:val="32"/>
        </w:rPr>
        <w:t>3:</w:t>
      </w:r>
    </w:p>
    <w:p w:rsidR="001A79DF" w:rsidRDefault="00E70674">
      <w:pPr>
        <w:widowControl/>
        <w:kinsoku w:val="0"/>
        <w:autoSpaceDE w:val="0"/>
        <w:autoSpaceDN w:val="0"/>
        <w:adjustRightInd w:val="0"/>
        <w:snapToGrid w:val="0"/>
        <w:spacing w:before="237" w:line="221" w:lineRule="auto"/>
        <w:ind w:left="1144" w:firstLineChars="0" w:firstLine="0"/>
        <w:jc w:val="left"/>
        <w:textAlignment w:val="baseline"/>
        <w:rPr>
          <w:rFonts w:ascii="黑体" w:eastAsia="黑体" w:hAnsi="黑体" w:cs="仿宋"/>
          <w:snapToGrid w:val="0"/>
          <w:color w:val="000000"/>
          <w:kern w:val="0"/>
          <w:sz w:val="32"/>
          <w:szCs w:val="32"/>
        </w:rPr>
      </w:pPr>
      <w:r>
        <w:rPr>
          <w:rFonts w:ascii="方正黑体_GBK" w:eastAsia="方正黑体_GBK" w:hAnsi="方正黑体_GBK" w:cs="方正黑体_GBK" w:hint="eastAsia"/>
          <w:bCs/>
          <w:snapToGrid w:val="0"/>
          <w:color w:val="000000"/>
          <w:spacing w:val="-11"/>
          <w:kern w:val="0"/>
          <w:sz w:val="28"/>
          <w:szCs w:val="28"/>
        </w:rPr>
        <w:t>表</w:t>
      </w:r>
      <w:r>
        <w:rPr>
          <w:rFonts w:ascii="Times New Roman" w:eastAsia="方正黑体_GBK" w:hAnsi="Times New Roman" w:cs="Times New Roman"/>
          <w:bCs/>
          <w:snapToGrid w:val="0"/>
          <w:color w:val="000000"/>
          <w:spacing w:val="-11"/>
          <w:kern w:val="0"/>
          <w:sz w:val="28"/>
          <w:szCs w:val="28"/>
        </w:rPr>
        <w:t>3   2025</w:t>
      </w:r>
      <w:r>
        <w:rPr>
          <w:rFonts w:ascii="方正黑体_GBK" w:eastAsia="方正黑体_GBK" w:hAnsi="方正黑体_GBK" w:cs="方正黑体_GBK" w:hint="eastAsia"/>
          <w:bCs/>
          <w:snapToGrid w:val="0"/>
          <w:color w:val="000000"/>
          <w:spacing w:val="-11"/>
          <w:kern w:val="0"/>
          <w:sz w:val="28"/>
          <w:szCs w:val="28"/>
        </w:rPr>
        <w:t>年度</w:t>
      </w:r>
      <w:proofErr w:type="gramStart"/>
      <w:r>
        <w:rPr>
          <w:rFonts w:ascii="方正黑体_GBK" w:eastAsia="方正黑体_GBK" w:hAnsi="方正黑体_GBK" w:cs="方正黑体_GBK" w:hint="eastAsia"/>
          <w:bCs/>
          <w:snapToGrid w:val="0"/>
          <w:color w:val="000000"/>
          <w:spacing w:val="-11"/>
          <w:kern w:val="0"/>
          <w:sz w:val="28"/>
          <w:szCs w:val="28"/>
        </w:rPr>
        <w:t>南京市发改委</w:t>
      </w:r>
      <w:proofErr w:type="gramEnd"/>
      <w:r>
        <w:rPr>
          <w:rFonts w:ascii="方正黑体_GBK" w:eastAsia="方正黑体_GBK" w:hAnsi="方正黑体_GBK" w:cs="方正黑体_GBK" w:hint="eastAsia"/>
          <w:bCs/>
          <w:snapToGrid w:val="0"/>
          <w:color w:val="000000"/>
          <w:spacing w:val="-11"/>
          <w:kern w:val="0"/>
          <w:sz w:val="28"/>
          <w:szCs w:val="28"/>
        </w:rPr>
        <w:t>“三公经费”执行表</w:t>
      </w:r>
    </w:p>
    <w:p w:rsidR="001A79DF" w:rsidRDefault="00E70674">
      <w:pPr>
        <w:widowControl/>
        <w:kinsoku w:val="0"/>
        <w:autoSpaceDE w:val="0"/>
        <w:autoSpaceDN w:val="0"/>
        <w:adjustRightInd w:val="0"/>
        <w:snapToGrid w:val="0"/>
        <w:spacing w:before="263" w:line="221" w:lineRule="auto"/>
        <w:ind w:firstLineChars="2700" w:firstLine="6642"/>
        <w:jc w:val="left"/>
        <w:textAlignment w:val="baseline"/>
        <w:rPr>
          <w:rFonts w:ascii="宋体" w:eastAsia="宋体" w:hAnsi="宋体" w:cs="宋体"/>
          <w:snapToGrid w:val="0"/>
          <w:color w:val="000000"/>
          <w:spacing w:val="3"/>
          <w:kern w:val="0"/>
          <w:sz w:val="24"/>
          <w:szCs w:val="24"/>
        </w:rPr>
      </w:pPr>
      <w:bookmarkStart w:id="41" w:name="OLE_LINK2"/>
      <w:bookmarkStart w:id="42" w:name="OLE_LINK1"/>
      <w:proofErr w:type="spellStart"/>
      <w:r>
        <w:rPr>
          <w:rFonts w:ascii="仿宋" w:eastAsia="仿宋" w:hAnsi="仿宋" w:cs="宋体" w:hint="eastAsia"/>
          <w:snapToGrid w:val="0"/>
          <w:color w:val="000000"/>
          <w:spacing w:val="3"/>
          <w:kern w:val="0"/>
          <w:sz w:val="24"/>
          <w:szCs w:val="24"/>
          <w:lang w:eastAsia="en-US"/>
        </w:rPr>
        <w:t>单位：万元</w:t>
      </w:r>
      <w:proofErr w:type="spellEnd"/>
    </w:p>
    <w:tbl>
      <w:tblPr>
        <w:tblW w:w="8662" w:type="dxa"/>
        <w:tblInd w:w="93" w:type="dxa"/>
        <w:tblBorders>
          <w:top w:val="single" w:sz="2" w:space="0" w:color="000000"/>
          <w:bottom w:val="single" w:sz="2" w:space="0" w:color="000000"/>
          <w:insideH w:val="single" w:sz="2" w:space="0" w:color="000000"/>
          <w:insideV w:val="single" w:sz="2" w:space="0" w:color="000000"/>
        </w:tblBorders>
        <w:tblLook w:val="04A0" w:firstRow="1" w:lastRow="0" w:firstColumn="1" w:lastColumn="0" w:noHBand="0" w:noVBand="1"/>
      </w:tblPr>
      <w:tblGrid>
        <w:gridCol w:w="2425"/>
        <w:gridCol w:w="1540"/>
        <w:gridCol w:w="1720"/>
        <w:gridCol w:w="1380"/>
        <w:gridCol w:w="1597"/>
      </w:tblGrid>
      <w:tr w:rsidR="001A79DF">
        <w:trPr>
          <w:trHeight w:val="290"/>
          <w:tblHeader/>
        </w:trPr>
        <w:tc>
          <w:tcPr>
            <w:tcW w:w="2425" w:type="dxa"/>
            <w:shd w:val="clear" w:color="auto" w:fill="auto"/>
            <w:vAlign w:val="center"/>
          </w:tcPr>
          <w:bookmarkEnd w:id="41"/>
          <w:bookmarkEnd w:id="42"/>
          <w:p w:rsidR="001A79DF" w:rsidRDefault="00E70674">
            <w:pPr>
              <w:widowControl/>
              <w:spacing w:line="240" w:lineRule="auto"/>
              <w:ind w:firstLineChars="0" w:firstLine="0"/>
              <w:jc w:val="center"/>
              <w:rPr>
                <w:rFonts w:ascii="仿宋" w:eastAsia="仿宋" w:hAnsi="仿宋" w:cs="宋体"/>
                <w:b/>
                <w:color w:val="000000"/>
                <w:kern w:val="0"/>
                <w:sz w:val="20"/>
                <w:szCs w:val="20"/>
              </w:rPr>
            </w:pPr>
            <w:r>
              <w:rPr>
                <w:rFonts w:ascii="仿宋" w:eastAsia="仿宋" w:hAnsi="仿宋" w:cs="宋体" w:hint="eastAsia"/>
                <w:b/>
                <w:color w:val="000000"/>
                <w:kern w:val="0"/>
                <w:sz w:val="20"/>
                <w:szCs w:val="20"/>
              </w:rPr>
              <w:t>类别</w:t>
            </w:r>
          </w:p>
        </w:tc>
        <w:tc>
          <w:tcPr>
            <w:tcW w:w="1540" w:type="dxa"/>
            <w:shd w:val="clear" w:color="auto" w:fill="auto"/>
            <w:vAlign w:val="center"/>
          </w:tcPr>
          <w:p w:rsidR="001A79DF" w:rsidRDefault="00E70674">
            <w:pPr>
              <w:widowControl/>
              <w:spacing w:line="240" w:lineRule="auto"/>
              <w:ind w:firstLineChars="0" w:firstLine="0"/>
              <w:jc w:val="center"/>
              <w:rPr>
                <w:rFonts w:ascii="仿宋" w:eastAsia="仿宋" w:hAnsi="仿宋" w:cs="宋体"/>
                <w:b/>
                <w:color w:val="000000"/>
                <w:kern w:val="0"/>
                <w:sz w:val="20"/>
                <w:szCs w:val="20"/>
              </w:rPr>
            </w:pPr>
            <w:r>
              <w:rPr>
                <w:rFonts w:ascii="仿宋" w:eastAsia="仿宋" w:hAnsi="仿宋" w:cs="宋体" w:hint="eastAsia"/>
                <w:b/>
                <w:color w:val="000000"/>
                <w:kern w:val="0"/>
                <w:sz w:val="20"/>
                <w:szCs w:val="20"/>
              </w:rPr>
              <w:t>年初预算</w:t>
            </w:r>
          </w:p>
        </w:tc>
        <w:tc>
          <w:tcPr>
            <w:tcW w:w="1720" w:type="dxa"/>
            <w:shd w:val="clear" w:color="auto" w:fill="auto"/>
            <w:vAlign w:val="center"/>
          </w:tcPr>
          <w:p w:rsidR="001A79DF" w:rsidRDefault="00E70674">
            <w:pPr>
              <w:widowControl/>
              <w:spacing w:line="240" w:lineRule="auto"/>
              <w:ind w:firstLineChars="0" w:firstLine="0"/>
              <w:jc w:val="center"/>
              <w:rPr>
                <w:rFonts w:ascii="仿宋" w:eastAsia="仿宋" w:hAnsi="仿宋" w:cs="宋体"/>
                <w:b/>
                <w:color w:val="000000"/>
                <w:kern w:val="0"/>
                <w:sz w:val="20"/>
                <w:szCs w:val="20"/>
              </w:rPr>
            </w:pPr>
            <w:r>
              <w:rPr>
                <w:rFonts w:ascii="仿宋" w:eastAsia="仿宋" w:hAnsi="仿宋" w:cs="宋体" w:hint="eastAsia"/>
                <w:b/>
                <w:color w:val="000000"/>
                <w:kern w:val="0"/>
                <w:sz w:val="20"/>
                <w:szCs w:val="20"/>
              </w:rPr>
              <w:t>调整</w:t>
            </w:r>
            <w:proofErr w:type="gramStart"/>
            <w:r>
              <w:rPr>
                <w:rFonts w:ascii="仿宋" w:eastAsia="仿宋" w:hAnsi="仿宋" w:cs="宋体" w:hint="eastAsia"/>
                <w:b/>
                <w:color w:val="000000"/>
                <w:kern w:val="0"/>
                <w:sz w:val="20"/>
                <w:szCs w:val="20"/>
              </w:rPr>
              <w:t>后预算</w:t>
            </w:r>
            <w:proofErr w:type="gramEnd"/>
          </w:p>
        </w:tc>
        <w:tc>
          <w:tcPr>
            <w:tcW w:w="1380" w:type="dxa"/>
            <w:shd w:val="clear" w:color="auto" w:fill="auto"/>
            <w:vAlign w:val="center"/>
          </w:tcPr>
          <w:p w:rsidR="001A79DF" w:rsidRDefault="00E70674">
            <w:pPr>
              <w:widowControl/>
              <w:spacing w:line="240" w:lineRule="auto"/>
              <w:ind w:firstLineChars="0" w:firstLine="0"/>
              <w:jc w:val="center"/>
              <w:rPr>
                <w:rFonts w:ascii="仿宋" w:eastAsia="仿宋" w:hAnsi="仿宋" w:cs="宋体"/>
                <w:b/>
                <w:color w:val="000000"/>
                <w:kern w:val="0"/>
                <w:sz w:val="20"/>
                <w:szCs w:val="20"/>
              </w:rPr>
            </w:pPr>
            <w:r>
              <w:rPr>
                <w:rFonts w:ascii="仿宋" w:eastAsia="仿宋" w:hAnsi="仿宋" w:cs="宋体" w:hint="eastAsia"/>
                <w:b/>
                <w:color w:val="000000"/>
                <w:kern w:val="0"/>
                <w:sz w:val="20"/>
                <w:szCs w:val="20"/>
              </w:rPr>
              <w:t>决算支出</w:t>
            </w:r>
          </w:p>
        </w:tc>
        <w:tc>
          <w:tcPr>
            <w:tcW w:w="1597" w:type="dxa"/>
            <w:shd w:val="clear" w:color="auto" w:fill="auto"/>
            <w:vAlign w:val="center"/>
          </w:tcPr>
          <w:p w:rsidR="001A79DF" w:rsidRDefault="00E70674">
            <w:pPr>
              <w:widowControl/>
              <w:spacing w:line="240" w:lineRule="auto"/>
              <w:ind w:firstLineChars="0" w:firstLine="0"/>
              <w:jc w:val="center"/>
              <w:rPr>
                <w:rFonts w:ascii="仿宋" w:eastAsia="仿宋" w:hAnsi="仿宋" w:cs="宋体"/>
                <w:b/>
                <w:color w:val="000000"/>
                <w:kern w:val="0"/>
                <w:sz w:val="20"/>
                <w:szCs w:val="20"/>
              </w:rPr>
            </w:pPr>
            <w:r>
              <w:rPr>
                <w:rFonts w:ascii="仿宋" w:eastAsia="仿宋" w:hAnsi="仿宋" w:cs="宋体" w:hint="eastAsia"/>
                <w:b/>
                <w:color w:val="000000"/>
                <w:kern w:val="0"/>
                <w:sz w:val="20"/>
                <w:szCs w:val="20"/>
              </w:rPr>
              <w:t>执行率</w:t>
            </w:r>
          </w:p>
        </w:tc>
      </w:tr>
      <w:tr w:rsidR="001A79DF">
        <w:trPr>
          <w:trHeight w:val="530"/>
        </w:trPr>
        <w:tc>
          <w:tcPr>
            <w:tcW w:w="2425" w:type="dxa"/>
            <w:shd w:val="clear" w:color="auto" w:fill="auto"/>
            <w:vAlign w:val="center"/>
          </w:tcPr>
          <w:p w:rsidR="001A79DF" w:rsidRDefault="00E70674">
            <w:pPr>
              <w:widowControl/>
              <w:spacing w:line="240" w:lineRule="auto"/>
              <w:ind w:firstLineChars="0" w:firstLine="0"/>
              <w:jc w:val="center"/>
              <w:rPr>
                <w:rFonts w:ascii="仿宋" w:eastAsia="仿宋" w:hAnsi="仿宋" w:cs="宋体"/>
                <w:color w:val="000000"/>
                <w:kern w:val="0"/>
                <w:sz w:val="20"/>
                <w:szCs w:val="20"/>
              </w:rPr>
            </w:pPr>
            <w:r>
              <w:rPr>
                <w:rFonts w:ascii="仿宋" w:eastAsia="仿宋" w:hAnsi="仿宋" w:cs="宋体" w:hint="eastAsia"/>
                <w:color w:val="000000"/>
                <w:kern w:val="0"/>
                <w:sz w:val="20"/>
                <w:szCs w:val="20"/>
              </w:rPr>
              <w:t>因公出国(境)费用</w:t>
            </w:r>
          </w:p>
        </w:tc>
        <w:tc>
          <w:tcPr>
            <w:tcW w:w="1540" w:type="dxa"/>
            <w:shd w:val="clear" w:color="auto" w:fill="auto"/>
            <w:vAlign w:val="center"/>
          </w:tcPr>
          <w:p w:rsidR="001A79DF" w:rsidRDefault="00E70674">
            <w:pPr>
              <w:widowControl/>
              <w:spacing w:line="240" w:lineRule="auto"/>
              <w:ind w:firstLineChars="0" w:firstLine="0"/>
              <w:jc w:val="center"/>
              <w:rPr>
                <w:rFonts w:ascii="仿宋" w:eastAsia="仿宋" w:hAnsi="仿宋" w:cs="宋体"/>
                <w:color w:val="000000"/>
                <w:kern w:val="0"/>
                <w:sz w:val="20"/>
                <w:szCs w:val="20"/>
              </w:rPr>
            </w:pPr>
            <w:r>
              <w:rPr>
                <w:rFonts w:ascii="仿宋" w:eastAsia="仿宋" w:hAnsi="仿宋" w:cs="宋体" w:hint="eastAsia"/>
                <w:color w:val="000000"/>
                <w:kern w:val="0"/>
                <w:sz w:val="20"/>
                <w:szCs w:val="20"/>
              </w:rPr>
              <w:t>0</w:t>
            </w:r>
          </w:p>
        </w:tc>
        <w:tc>
          <w:tcPr>
            <w:tcW w:w="1720" w:type="dxa"/>
            <w:shd w:val="clear" w:color="auto" w:fill="auto"/>
            <w:vAlign w:val="center"/>
          </w:tcPr>
          <w:p w:rsidR="001A79DF" w:rsidRDefault="00E70674">
            <w:pPr>
              <w:widowControl/>
              <w:spacing w:line="240" w:lineRule="auto"/>
              <w:ind w:firstLineChars="0" w:firstLine="0"/>
              <w:jc w:val="center"/>
              <w:rPr>
                <w:rFonts w:ascii="仿宋" w:eastAsia="仿宋" w:hAnsi="仿宋" w:cs="宋体"/>
                <w:color w:val="000000"/>
                <w:kern w:val="0"/>
                <w:sz w:val="20"/>
                <w:szCs w:val="20"/>
              </w:rPr>
            </w:pPr>
            <w:r>
              <w:rPr>
                <w:rFonts w:ascii="仿宋" w:eastAsia="仿宋" w:hAnsi="仿宋" w:cs="宋体" w:hint="eastAsia"/>
                <w:color w:val="000000"/>
                <w:kern w:val="0"/>
                <w:sz w:val="20"/>
                <w:szCs w:val="20"/>
              </w:rPr>
              <w:t>9.36</w:t>
            </w:r>
          </w:p>
        </w:tc>
        <w:tc>
          <w:tcPr>
            <w:tcW w:w="1380" w:type="dxa"/>
            <w:shd w:val="clear" w:color="auto" w:fill="auto"/>
            <w:vAlign w:val="center"/>
          </w:tcPr>
          <w:p w:rsidR="001A79DF" w:rsidRDefault="00E70674">
            <w:pPr>
              <w:widowControl/>
              <w:spacing w:line="240" w:lineRule="auto"/>
              <w:ind w:firstLineChars="0" w:firstLine="0"/>
              <w:jc w:val="center"/>
              <w:rPr>
                <w:rFonts w:ascii="仿宋" w:eastAsia="仿宋" w:hAnsi="仿宋" w:cs="宋体"/>
                <w:color w:val="000000"/>
                <w:kern w:val="0"/>
                <w:sz w:val="20"/>
                <w:szCs w:val="20"/>
              </w:rPr>
            </w:pPr>
            <w:r>
              <w:rPr>
                <w:rFonts w:ascii="仿宋" w:eastAsia="仿宋" w:hAnsi="仿宋" w:cs="宋体" w:hint="eastAsia"/>
                <w:color w:val="000000"/>
                <w:kern w:val="0"/>
                <w:sz w:val="20"/>
                <w:szCs w:val="20"/>
              </w:rPr>
              <w:t>9.36</w:t>
            </w:r>
          </w:p>
        </w:tc>
        <w:tc>
          <w:tcPr>
            <w:tcW w:w="1597" w:type="dxa"/>
            <w:shd w:val="clear" w:color="auto" w:fill="auto"/>
            <w:vAlign w:val="center"/>
          </w:tcPr>
          <w:p w:rsidR="001A79DF" w:rsidRDefault="00E70674">
            <w:pPr>
              <w:widowControl/>
              <w:spacing w:line="240" w:lineRule="auto"/>
              <w:ind w:firstLineChars="0" w:firstLine="0"/>
              <w:jc w:val="center"/>
              <w:rPr>
                <w:rFonts w:ascii="仿宋" w:eastAsia="仿宋" w:hAnsi="仿宋" w:cs="宋体"/>
                <w:color w:val="000000"/>
                <w:kern w:val="0"/>
                <w:sz w:val="20"/>
                <w:szCs w:val="20"/>
              </w:rPr>
            </w:pPr>
            <w:r>
              <w:rPr>
                <w:rFonts w:ascii="仿宋" w:eastAsia="仿宋" w:hAnsi="仿宋" w:cs="宋体" w:hint="eastAsia"/>
                <w:color w:val="000000"/>
                <w:kern w:val="0"/>
                <w:sz w:val="20"/>
                <w:szCs w:val="20"/>
              </w:rPr>
              <w:t>100.00%</w:t>
            </w:r>
          </w:p>
        </w:tc>
      </w:tr>
      <w:tr w:rsidR="001A79DF">
        <w:trPr>
          <w:trHeight w:val="790"/>
        </w:trPr>
        <w:tc>
          <w:tcPr>
            <w:tcW w:w="2425" w:type="dxa"/>
            <w:shd w:val="clear" w:color="auto" w:fill="auto"/>
            <w:vAlign w:val="center"/>
          </w:tcPr>
          <w:p w:rsidR="001A79DF" w:rsidRDefault="00E70674">
            <w:pPr>
              <w:widowControl/>
              <w:spacing w:line="240" w:lineRule="auto"/>
              <w:ind w:firstLineChars="0" w:firstLine="0"/>
              <w:jc w:val="center"/>
              <w:rPr>
                <w:rFonts w:ascii="仿宋" w:eastAsia="仿宋" w:hAnsi="仿宋" w:cs="宋体"/>
                <w:color w:val="000000"/>
                <w:kern w:val="0"/>
                <w:sz w:val="20"/>
                <w:szCs w:val="20"/>
              </w:rPr>
            </w:pPr>
            <w:r>
              <w:rPr>
                <w:rFonts w:ascii="仿宋" w:eastAsia="仿宋" w:hAnsi="仿宋" w:cs="宋体" w:hint="eastAsia"/>
                <w:color w:val="000000"/>
                <w:kern w:val="0"/>
                <w:sz w:val="20"/>
                <w:szCs w:val="20"/>
              </w:rPr>
              <w:t>公务用车运行维护费</w:t>
            </w:r>
          </w:p>
        </w:tc>
        <w:tc>
          <w:tcPr>
            <w:tcW w:w="1540" w:type="dxa"/>
            <w:shd w:val="clear" w:color="auto" w:fill="auto"/>
            <w:vAlign w:val="center"/>
          </w:tcPr>
          <w:p w:rsidR="001A79DF" w:rsidRDefault="00E70674">
            <w:pPr>
              <w:widowControl/>
              <w:spacing w:line="240" w:lineRule="auto"/>
              <w:ind w:firstLineChars="0" w:firstLine="0"/>
              <w:jc w:val="center"/>
              <w:rPr>
                <w:rFonts w:ascii="仿宋" w:eastAsia="仿宋" w:hAnsi="仿宋" w:cs="宋体"/>
                <w:color w:val="000000"/>
                <w:kern w:val="0"/>
                <w:sz w:val="20"/>
                <w:szCs w:val="20"/>
              </w:rPr>
            </w:pPr>
            <w:r>
              <w:rPr>
                <w:rFonts w:ascii="仿宋" w:eastAsia="仿宋" w:hAnsi="仿宋" w:cs="宋体" w:hint="eastAsia"/>
                <w:color w:val="000000"/>
                <w:kern w:val="0"/>
                <w:sz w:val="20"/>
                <w:szCs w:val="20"/>
              </w:rPr>
              <w:t>9.22</w:t>
            </w:r>
          </w:p>
        </w:tc>
        <w:tc>
          <w:tcPr>
            <w:tcW w:w="1720" w:type="dxa"/>
            <w:shd w:val="clear" w:color="auto" w:fill="auto"/>
            <w:vAlign w:val="center"/>
          </w:tcPr>
          <w:p w:rsidR="001A79DF" w:rsidRDefault="00E70674">
            <w:pPr>
              <w:widowControl/>
              <w:spacing w:line="240" w:lineRule="auto"/>
              <w:ind w:firstLineChars="0" w:firstLine="0"/>
              <w:jc w:val="center"/>
              <w:rPr>
                <w:rFonts w:ascii="仿宋" w:eastAsia="仿宋" w:hAnsi="仿宋" w:cs="宋体"/>
                <w:color w:val="000000"/>
                <w:kern w:val="0"/>
                <w:sz w:val="20"/>
                <w:szCs w:val="20"/>
              </w:rPr>
            </w:pPr>
            <w:r>
              <w:rPr>
                <w:rFonts w:ascii="仿宋" w:eastAsia="仿宋" w:hAnsi="仿宋" w:cs="宋体" w:hint="eastAsia"/>
                <w:color w:val="000000"/>
                <w:kern w:val="0"/>
                <w:sz w:val="20"/>
                <w:szCs w:val="20"/>
              </w:rPr>
              <w:t>9.22</w:t>
            </w:r>
          </w:p>
        </w:tc>
        <w:tc>
          <w:tcPr>
            <w:tcW w:w="1380" w:type="dxa"/>
            <w:shd w:val="clear" w:color="auto" w:fill="auto"/>
            <w:vAlign w:val="center"/>
          </w:tcPr>
          <w:p w:rsidR="001A79DF" w:rsidRDefault="00E70674">
            <w:pPr>
              <w:widowControl/>
              <w:spacing w:line="240" w:lineRule="auto"/>
              <w:ind w:firstLineChars="0" w:firstLine="0"/>
              <w:jc w:val="center"/>
              <w:rPr>
                <w:rFonts w:ascii="仿宋" w:eastAsia="仿宋" w:hAnsi="仿宋" w:cs="宋体"/>
                <w:color w:val="000000"/>
                <w:kern w:val="0"/>
                <w:sz w:val="20"/>
                <w:szCs w:val="20"/>
              </w:rPr>
            </w:pPr>
            <w:r>
              <w:rPr>
                <w:rFonts w:ascii="仿宋" w:eastAsia="仿宋" w:hAnsi="仿宋" w:cs="宋体" w:hint="eastAsia"/>
                <w:color w:val="000000"/>
                <w:kern w:val="0"/>
                <w:sz w:val="20"/>
                <w:szCs w:val="20"/>
              </w:rPr>
              <w:t>9.22</w:t>
            </w:r>
          </w:p>
        </w:tc>
        <w:tc>
          <w:tcPr>
            <w:tcW w:w="1597" w:type="dxa"/>
            <w:shd w:val="clear" w:color="auto" w:fill="auto"/>
            <w:vAlign w:val="center"/>
          </w:tcPr>
          <w:p w:rsidR="001A79DF" w:rsidRDefault="00E70674">
            <w:pPr>
              <w:widowControl/>
              <w:spacing w:line="240" w:lineRule="auto"/>
              <w:ind w:firstLineChars="0" w:firstLine="0"/>
              <w:jc w:val="center"/>
              <w:rPr>
                <w:rFonts w:ascii="仿宋" w:eastAsia="仿宋" w:hAnsi="仿宋" w:cs="宋体"/>
                <w:color w:val="000000"/>
                <w:kern w:val="0"/>
                <w:sz w:val="20"/>
                <w:szCs w:val="20"/>
              </w:rPr>
            </w:pPr>
            <w:r>
              <w:rPr>
                <w:rFonts w:ascii="仿宋" w:eastAsia="仿宋" w:hAnsi="仿宋" w:cs="宋体" w:hint="eastAsia"/>
                <w:color w:val="000000"/>
                <w:kern w:val="0"/>
                <w:sz w:val="20"/>
                <w:szCs w:val="20"/>
              </w:rPr>
              <w:t>100.00%</w:t>
            </w:r>
          </w:p>
        </w:tc>
      </w:tr>
      <w:tr w:rsidR="001A79DF">
        <w:trPr>
          <w:trHeight w:val="530"/>
        </w:trPr>
        <w:tc>
          <w:tcPr>
            <w:tcW w:w="2425" w:type="dxa"/>
            <w:shd w:val="clear" w:color="auto" w:fill="auto"/>
            <w:vAlign w:val="center"/>
          </w:tcPr>
          <w:p w:rsidR="001A79DF" w:rsidRDefault="00E70674">
            <w:pPr>
              <w:widowControl/>
              <w:spacing w:line="240" w:lineRule="auto"/>
              <w:ind w:firstLineChars="0" w:firstLine="0"/>
              <w:jc w:val="center"/>
              <w:rPr>
                <w:rFonts w:ascii="仿宋" w:eastAsia="仿宋" w:hAnsi="仿宋" w:cs="宋体"/>
                <w:color w:val="000000"/>
                <w:kern w:val="0"/>
                <w:sz w:val="20"/>
                <w:szCs w:val="20"/>
              </w:rPr>
            </w:pPr>
            <w:r>
              <w:rPr>
                <w:rFonts w:ascii="仿宋" w:eastAsia="仿宋" w:hAnsi="仿宋" w:cs="宋体" w:hint="eastAsia"/>
                <w:color w:val="000000"/>
                <w:kern w:val="0"/>
                <w:sz w:val="20"/>
                <w:szCs w:val="20"/>
              </w:rPr>
              <w:t>公务接待费</w:t>
            </w:r>
          </w:p>
        </w:tc>
        <w:tc>
          <w:tcPr>
            <w:tcW w:w="1540" w:type="dxa"/>
            <w:shd w:val="clear" w:color="auto" w:fill="auto"/>
            <w:vAlign w:val="center"/>
          </w:tcPr>
          <w:p w:rsidR="001A79DF" w:rsidRDefault="00E70674">
            <w:pPr>
              <w:widowControl/>
              <w:spacing w:line="240" w:lineRule="auto"/>
              <w:ind w:firstLineChars="0" w:firstLine="0"/>
              <w:jc w:val="center"/>
              <w:rPr>
                <w:rFonts w:ascii="仿宋" w:eastAsia="仿宋" w:hAnsi="仿宋" w:cs="宋体"/>
                <w:color w:val="000000"/>
                <w:kern w:val="0"/>
                <w:sz w:val="20"/>
                <w:szCs w:val="20"/>
              </w:rPr>
            </w:pPr>
            <w:r>
              <w:rPr>
                <w:rFonts w:ascii="仿宋" w:eastAsia="仿宋" w:hAnsi="仿宋" w:cs="宋体" w:hint="eastAsia"/>
                <w:color w:val="000000"/>
                <w:kern w:val="0"/>
                <w:sz w:val="20"/>
                <w:szCs w:val="20"/>
              </w:rPr>
              <w:t>10.5</w:t>
            </w:r>
          </w:p>
        </w:tc>
        <w:tc>
          <w:tcPr>
            <w:tcW w:w="1720" w:type="dxa"/>
            <w:shd w:val="clear" w:color="auto" w:fill="auto"/>
            <w:vAlign w:val="center"/>
          </w:tcPr>
          <w:p w:rsidR="001A79DF" w:rsidRDefault="00E70674">
            <w:pPr>
              <w:widowControl/>
              <w:spacing w:line="240" w:lineRule="auto"/>
              <w:ind w:firstLineChars="0" w:firstLine="0"/>
              <w:jc w:val="center"/>
              <w:rPr>
                <w:rFonts w:ascii="仿宋" w:eastAsia="仿宋" w:hAnsi="仿宋" w:cs="宋体"/>
                <w:color w:val="000000"/>
                <w:kern w:val="0"/>
                <w:sz w:val="20"/>
                <w:szCs w:val="20"/>
              </w:rPr>
            </w:pPr>
            <w:r>
              <w:rPr>
                <w:rFonts w:ascii="仿宋" w:eastAsia="仿宋" w:hAnsi="仿宋" w:cs="宋体" w:hint="eastAsia"/>
                <w:color w:val="000000"/>
                <w:kern w:val="0"/>
                <w:sz w:val="20"/>
                <w:szCs w:val="20"/>
              </w:rPr>
              <w:t>6.19</w:t>
            </w:r>
          </w:p>
        </w:tc>
        <w:tc>
          <w:tcPr>
            <w:tcW w:w="1380" w:type="dxa"/>
            <w:shd w:val="clear" w:color="auto" w:fill="auto"/>
            <w:vAlign w:val="center"/>
          </w:tcPr>
          <w:p w:rsidR="001A79DF" w:rsidRDefault="00E70674">
            <w:pPr>
              <w:widowControl/>
              <w:spacing w:line="240" w:lineRule="auto"/>
              <w:ind w:firstLineChars="0" w:firstLine="0"/>
              <w:jc w:val="center"/>
              <w:rPr>
                <w:rFonts w:ascii="仿宋" w:eastAsia="仿宋" w:hAnsi="仿宋" w:cs="宋体"/>
                <w:color w:val="000000"/>
                <w:kern w:val="0"/>
                <w:sz w:val="20"/>
                <w:szCs w:val="20"/>
              </w:rPr>
            </w:pPr>
            <w:r>
              <w:rPr>
                <w:rFonts w:ascii="仿宋" w:eastAsia="仿宋" w:hAnsi="仿宋" w:cs="宋体" w:hint="eastAsia"/>
                <w:color w:val="000000"/>
                <w:kern w:val="0"/>
                <w:sz w:val="20"/>
                <w:szCs w:val="20"/>
              </w:rPr>
              <w:t>6.19</w:t>
            </w:r>
          </w:p>
        </w:tc>
        <w:tc>
          <w:tcPr>
            <w:tcW w:w="1597" w:type="dxa"/>
            <w:shd w:val="clear" w:color="auto" w:fill="auto"/>
            <w:vAlign w:val="center"/>
          </w:tcPr>
          <w:p w:rsidR="001A79DF" w:rsidRDefault="00E70674">
            <w:pPr>
              <w:widowControl/>
              <w:spacing w:line="240" w:lineRule="auto"/>
              <w:ind w:firstLineChars="0" w:firstLine="0"/>
              <w:jc w:val="center"/>
              <w:rPr>
                <w:rFonts w:ascii="仿宋" w:eastAsia="仿宋" w:hAnsi="仿宋" w:cs="宋体"/>
                <w:color w:val="000000"/>
                <w:kern w:val="0"/>
                <w:sz w:val="20"/>
                <w:szCs w:val="20"/>
              </w:rPr>
            </w:pPr>
            <w:r>
              <w:rPr>
                <w:rFonts w:ascii="仿宋" w:eastAsia="仿宋" w:hAnsi="仿宋" w:cs="宋体" w:hint="eastAsia"/>
                <w:color w:val="000000"/>
                <w:kern w:val="0"/>
                <w:sz w:val="20"/>
                <w:szCs w:val="20"/>
              </w:rPr>
              <w:t>100.00%</w:t>
            </w:r>
          </w:p>
        </w:tc>
      </w:tr>
      <w:tr w:rsidR="001A79DF">
        <w:trPr>
          <w:trHeight w:val="290"/>
        </w:trPr>
        <w:tc>
          <w:tcPr>
            <w:tcW w:w="2425" w:type="dxa"/>
            <w:shd w:val="clear" w:color="auto" w:fill="auto"/>
            <w:vAlign w:val="center"/>
          </w:tcPr>
          <w:p w:rsidR="001A79DF" w:rsidRDefault="00E70674">
            <w:pPr>
              <w:widowControl/>
              <w:spacing w:line="240" w:lineRule="auto"/>
              <w:ind w:firstLineChars="0" w:firstLine="0"/>
              <w:jc w:val="center"/>
              <w:rPr>
                <w:rFonts w:ascii="仿宋" w:eastAsia="仿宋" w:hAnsi="仿宋" w:cs="宋体"/>
                <w:color w:val="000000"/>
                <w:kern w:val="0"/>
                <w:sz w:val="20"/>
                <w:szCs w:val="20"/>
              </w:rPr>
            </w:pPr>
            <w:r>
              <w:rPr>
                <w:rFonts w:ascii="仿宋" w:eastAsia="仿宋" w:hAnsi="仿宋" w:cs="宋体" w:hint="eastAsia"/>
                <w:color w:val="000000"/>
                <w:kern w:val="0"/>
                <w:sz w:val="20"/>
                <w:szCs w:val="20"/>
              </w:rPr>
              <w:t>合计</w:t>
            </w:r>
          </w:p>
        </w:tc>
        <w:tc>
          <w:tcPr>
            <w:tcW w:w="1540" w:type="dxa"/>
            <w:shd w:val="clear" w:color="auto" w:fill="auto"/>
            <w:vAlign w:val="center"/>
          </w:tcPr>
          <w:p w:rsidR="001A79DF" w:rsidRDefault="00E70674">
            <w:pPr>
              <w:widowControl/>
              <w:spacing w:line="240" w:lineRule="auto"/>
              <w:ind w:firstLineChars="0" w:firstLine="0"/>
              <w:jc w:val="center"/>
              <w:rPr>
                <w:rFonts w:ascii="仿宋" w:eastAsia="仿宋" w:hAnsi="仿宋" w:cs="宋体"/>
                <w:color w:val="000000"/>
                <w:kern w:val="0"/>
                <w:sz w:val="20"/>
                <w:szCs w:val="20"/>
              </w:rPr>
            </w:pPr>
            <w:r>
              <w:rPr>
                <w:rFonts w:ascii="仿宋" w:eastAsia="仿宋" w:hAnsi="仿宋" w:cs="宋体" w:hint="eastAsia"/>
                <w:color w:val="000000"/>
                <w:kern w:val="0"/>
                <w:sz w:val="20"/>
                <w:szCs w:val="20"/>
              </w:rPr>
              <w:t>19.72</w:t>
            </w:r>
          </w:p>
        </w:tc>
        <w:tc>
          <w:tcPr>
            <w:tcW w:w="1720" w:type="dxa"/>
            <w:shd w:val="clear" w:color="auto" w:fill="auto"/>
            <w:vAlign w:val="center"/>
          </w:tcPr>
          <w:p w:rsidR="001A79DF" w:rsidRDefault="00E70674">
            <w:pPr>
              <w:widowControl/>
              <w:spacing w:line="240" w:lineRule="auto"/>
              <w:ind w:firstLineChars="0" w:firstLine="0"/>
              <w:jc w:val="center"/>
              <w:rPr>
                <w:rFonts w:ascii="仿宋" w:eastAsia="仿宋" w:hAnsi="仿宋" w:cs="宋体"/>
                <w:color w:val="000000"/>
                <w:kern w:val="0"/>
                <w:sz w:val="20"/>
                <w:szCs w:val="20"/>
              </w:rPr>
            </w:pPr>
            <w:r>
              <w:rPr>
                <w:rFonts w:ascii="仿宋" w:eastAsia="仿宋" w:hAnsi="仿宋" w:cs="宋体" w:hint="eastAsia"/>
                <w:color w:val="000000"/>
                <w:kern w:val="0"/>
                <w:sz w:val="20"/>
                <w:szCs w:val="20"/>
              </w:rPr>
              <w:t>24.77</w:t>
            </w:r>
          </w:p>
        </w:tc>
        <w:tc>
          <w:tcPr>
            <w:tcW w:w="1380" w:type="dxa"/>
            <w:shd w:val="clear" w:color="auto" w:fill="auto"/>
            <w:vAlign w:val="center"/>
          </w:tcPr>
          <w:p w:rsidR="001A79DF" w:rsidRDefault="00E70674">
            <w:pPr>
              <w:widowControl/>
              <w:spacing w:line="240" w:lineRule="auto"/>
              <w:ind w:firstLineChars="0" w:firstLine="0"/>
              <w:jc w:val="center"/>
              <w:rPr>
                <w:rFonts w:ascii="仿宋" w:eastAsia="仿宋" w:hAnsi="仿宋" w:cs="宋体"/>
                <w:color w:val="000000"/>
                <w:kern w:val="0"/>
                <w:sz w:val="20"/>
                <w:szCs w:val="20"/>
              </w:rPr>
            </w:pPr>
            <w:r>
              <w:rPr>
                <w:rFonts w:ascii="仿宋" w:eastAsia="仿宋" w:hAnsi="仿宋" w:cs="宋体" w:hint="eastAsia"/>
                <w:color w:val="000000"/>
                <w:kern w:val="0"/>
                <w:sz w:val="20"/>
                <w:szCs w:val="20"/>
              </w:rPr>
              <w:t>24.77</w:t>
            </w:r>
          </w:p>
        </w:tc>
        <w:tc>
          <w:tcPr>
            <w:tcW w:w="1597" w:type="dxa"/>
            <w:shd w:val="clear" w:color="auto" w:fill="auto"/>
            <w:vAlign w:val="center"/>
          </w:tcPr>
          <w:p w:rsidR="001A79DF" w:rsidRDefault="00E70674">
            <w:pPr>
              <w:widowControl/>
              <w:spacing w:line="240" w:lineRule="auto"/>
              <w:ind w:firstLineChars="0" w:firstLine="0"/>
              <w:jc w:val="center"/>
              <w:rPr>
                <w:rFonts w:ascii="仿宋" w:eastAsia="仿宋" w:hAnsi="仿宋" w:cs="宋体"/>
                <w:color w:val="000000"/>
                <w:kern w:val="0"/>
                <w:sz w:val="20"/>
                <w:szCs w:val="20"/>
              </w:rPr>
            </w:pPr>
            <w:r>
              <w:rPr>
                <w:rFonts w:ascii="仿宋" w:eastAsia="仿宋" w:hAnsi="仿宋" w:cs="宋体" w:hint="eastAsia"/>
                <w:color w:val="000000"/>
                <w:kern w:val="0"/>
                <w:sz w:val="20"/>
                <w:szCs w:val="20"/>
              </w:rPr>
              <w:t>100.00%</w:t>
            </w:r>
          </w:p>
        </w:tc>
      </w:tr>
    </w:tbl>
    <w:p w:rsidR="001A79DF" w:rsidRDefault="00E70674">
      <w:pPr>
        <w:keepNext/>
        <w:keepLines/>
        <w:ind w:firstLine="640"/>
        <w:outlineLvl w:val="2"/>
        <w:rPr>
          <w:rFonts w:ascii="仿宋" w:eastAsia="仿宋" w:hAnsi="仿宋" w:cs="Times New Roman"/>
          <w:bCs/>
          <w:sz w:val="32"/>
          <w:szCs w:val="32"/>
        </w:rPr>
      </w:pPr>
      <w:r>
        <w:rPr>
          <w:rFonts w:ascii="仿宋" w:eastAsia="仿宋" w:hAnsi="仿宋" w:cs="Times New Roman"/>
          <w:bCs/>
          <w:sz w:val="32"/>
          <w:szCs w:val="32"/>
        </w:rPr>
        <w:t>3</w:t>
      </w:r>
      <w:r>
        <w:rPr>
          <w:rFonts w:ascii="仿宋" w:eastAsia="仿宋" w:hAnsi="仿宋" w:cs="Times New Roman" w:hint="eastAsia"/>
          <w:bCs/>
          <w:sz w:val="32"/>
          <w:szCs w:val="32"/>
        </w:rPr>
        <w:t>.专项资金情况</w:t>
      </w:r>
    </w:p>
    <w:p w:rsidR="001A79DF" w:rsidRDefault="00E70674">
      <w:pPr>
        <w:pStyle w:val="a4"/>
        <w:spacing w:after="0" w:line="500" w:lineRule="exact"/>
        <w:ind w:firstLine="640"/>
        <w:rPr>
          <w:rFonts w:ascii="Times New Roman" w:eastAsia="方正仿宋_GBK" w:hAnsi="Times New Roman" w:cs="方正仿宋_GBK"/>
          <w:sz w:val="32"/>
          <w:szCs w:val="32"/>
        </w:rPr>
      </w:pPr>
      <w:proofErr w:type="gramStart"/>
      <w:r>
        <w:rPr>
          <w:rFonts w:ascii="Times New Roman" w:eastAsia="方正仿宋_GBK" w:hAnsi="Times New Roman" w:cs="方正仿宋_GBK" w:hint="eastAsia"/>
          <w:sz w:val="32"/>
          <w:szCs w:val="32"/>
        </w:rPr>
        <w:t>南京市发改委</w:t>
      </w:r>
      <w:proofErr w:type="gramEnd"/>
      <w:r>
        <w:rPr>
          <w:rFonts w:ascii="Times New Roman" w:eastAsia="方正仿宋_GBK" w:hAnsi="Times New Roman" w:cs="方正仿宋_GBK"/>
          <w:sz w:val="32"/>
          <w:szCs w:val="32"/>
        </w:rPr>
        <w:t>(</w:t>
      </w:r>
      <w:r>
        <w:rPr>
          <w:rFonts w:ascii="Times New Roman" w:eastAsia="方正仿宋_GBK" w:hAnsi="Times New Roman" w:cs="方正仿宋_GBK" w:hint="eastAsia"/>
          <w:sz w:val="32"/>
          <w:szCs w:val="32"/>
        </w:rPr>
        <w:t>本级</w:t>
      </w:r>
      <w:r>
        <w:rPr>
          <w:rFonts w:ascii="Times New Roman" w:eastAsia="方正仿宋_GBK" w:hAnsi="Times New Roman" w:cs="方正仿宋_GBK"/>
          <w:sz w:val="32"/>
          <w:szCs w:val="32"/>
        </w:rPr>
        <w:t>)</w:t>
      </w:r>
      <w:r>
        <w:rPr>
          <w:rFonts w:ascii="Times New Roman" w:eastAsia="方正仿宋_GBK" w:hAnsi="Times New Roman" w:cs="方正仿宋_GBK" w:hint="eastAsia"/>
          <w:sz w:val="32"/>
          <w:szCs w:val="32"/>
        </w:rPr>
        <w:t>负责管理市级统筹基建专项、粮食</w:t>
      </w:r>
      <w:r>
        <w:rPr>
          <w:rFonts w:ascii="Times New Roman" w:eastAsia="方正仿宋_GBK" w:hAnsi="Times New Roman" w:cs="方正仿宋_GBK" w:hint="eastAsia"/>
          <w:sz w:val="32"/>
          <w:szCs w:val="32"/>
        </w:rPr>
        <w:lastRenderedPageBreak/>
        <w:t>专项补助、应急救灾物资采购及仓储</w:t>
      </w:r>
      <w:proofErr w:type="gramStart"/>
      <w:r>
        <w:rPr>
          <w:rFonts w:ascii="Times New Roman" w:eastAsia="方正仿宋_GBK" w:hAnsi="Times New Roman" w:cs="方正仿宋_GBK" w:hint="eastAsia"/>
          <w:sz w:val="32"/>
          <w:szCs w:val="32"/>
        </w:rPr>
        <w:t>专项等</w:t>
      </w:r>
      <w:proofErr w:type="gramEnd"/>
      <w:r>
        <w:rPr>
          <w:rFonts w:ascii="Times New Roman" w:eastAsia="方正仿宋_GBK" w:hAnsi="Times New Roman" w:cs="方正仿宋_GBK" w:hint="eastAsia"/>
          <w:sz w:val="32"/>
          <w:szCs w:val="32"/>
        </w:rPr>
        <w:t>三项专项资金，年初预算总计</w:t>
      </w:r>
      <w:r>
        <w:rPr>
          <w:rFonts w:ascii="Times New Roman" w:eastAsia="方正仿宋_GBK" w:hAnsi="Times New Roman" w:cs="方正仿宋_GBK"/>
          <w:sz w:val="32"/>
          <w:szCs w:val="32"/>
        </w:rPr>
        <w:t>14105</w:t>
      </w:r>
      <w:r>
        <w:rPr>
          <w:rFonts w:ascii="Times New Roman" w:eastAsia="方正仿宋_GBK" w:hAnsi="Times New Roman" w:cs="方正仿宋_GBK" w:hint="eastAsia"/>
          <w:sz w:val="32"/>
          <w:szCs w:val="32"/>
        </w:rPr>
        <w:t>万元，使用</w:t>
      </w:r>
      <w:r>
        <w:rPr>
          <w:rFonts w:ascii="Times New Roman" w:eastAsia="方正仿宋_GBK" w:hAnsi="Times New Roman" w:cs="方正仿宋_GBK"/>
          <w:sz w:val="32"/>
          <w:szCs w:val="32"/>
        </w:rPr>
        <w:t>13123.2</w:t>
      </w:r>
      <w:r>
        <w:rPr>
          <w:rFonts w:ascii="Times New Roman" w:eastAsia="方正仿宋_GBK" w:hAnsi="Times New Roman" w:cs="方正仿宋_GBK" w:hint="eastAsia"/>
          <w:sz w:val="32"/>
          <w:szCs w:val="32"/>
        </w:rPr>
        <w:t>5</w:t>
      </w:r>
      <w:r>
        <w:rPr>
          <w:rFonts w:ascii="Times New Roman" w:eastAsia="方正仿宋_GBK" w:hAnsi="Times New Roman" w:cs="方正仿宋_GBK" w:hint="eastAsia"/>
          <w:sz w:val="32"/>
          <w:szCs w:val="32"/>
        </w:rPr>
        <w:t>万元，预算执行率</w:t>
      </w:r>
      <w:r>
        <w:rPr>
          <w:rFonts w:ascii="Times New Roman" w:eastAsia="方正仿宋_GBK" w:hAnsi="Times New Roman" w:cs="方正仿宋_GBK"/>
          <w:sz w:val="32"/>
          <w:szCs w:val="32"/>
        </w:rPr>
        <w:t>93.04%</w:t>
      </w:r>
      <w:r>
        <w:rPr>
          <w:rFonts w:ascii="Times New Roman" w:eastAsia="方正仿宋_GBK" w:hAnsi="Times New Roman" w:cs="方正仿宋_GBK" w:hint="eastAsia"/>
          <w:sz w:val="32"/>
          <w:szCs w:val="32"/>
        </w:rPr>
        <w:t>。</w:t>
      </w:r>
    </w:p>
    <w:p w:rsidR="001A79DF" w:rsidRDefault="00E70674">
      <w:pPr>
        <w:ind w:firstLine="640"/>
        <w:rPr>
          <w:rFonts w:ascii="仿宋" w:eastAsia="仿宋" w:hAnsi="仿宋" w:cs="Times New Roman"/>
          <w:sz w:val="32"/>
          <w:szCs w:val="32"/>
        </w:rPr>
      </w:pPr>
      <w:r>
        <w:rPr>
          <w:rFonts w:ascii="仿宋" w:eastAsia="仿宋" w:hAnsi="仿宋" w:cs="Times New Roman" w:hint="eastAsia"/>
          <w:sz w:val="32"/>
          <w:szCs w:val="32"/>
        </w:rPr>
        <w:t>具体详见表4：</w:t>
      </w:r>
    </w:p>
    <w:p w:rsidR="001A79DF" w:rsidRDefault="00E70674">
      <w:pPr>
        <w:widowControl/>
        <w:kinsoku w:val="0"/>
        <w:autoSpaceDE w:val="0"/>
        <w:autoSpaceDN w:val="0"/>
        <w:adjustRightInd w:val="0"/>
        <w:snapToGrid w:val="0"/>
        <w:spacing w:before="274" w:line="221" w:lineRule="auto"/>
        <w:ind w:firstLineChars="0" w:firstLine="0"/>
        <w:jc w:val="center"/>
        <w:textAlignment w:val="baseline"/>
        <w:rPr>
          <w:rFonts w:ascii="仿宋" w:eastAsia="仿宋" w:hAnsi="仿宋" w:cs="宋体"/>
          <w:b/>
          <w:bCs/>
          <w:snapToGrid w:val="0"/>
          <w:color w:val="000000"/>
          <w:spacing w:val="13"/>
          <w:kern w:val="0"/>
          <w:sz w:val="32"/>
          <w:szCs w:val="32"/>
        </w:rPr>
      </w:pPr>
      <w:r>
        <w:rPr>
          <w:rFonts w:ascii="方正黑体_GBK" w:eastAsia="方正黑体_GBK" w:hAnsi="方正黑体_GBK" w:cs="方正黑体_GBK" w:hint="eastAsia"/>
          <w:snapToGrid w:val="0"/>
          <w:color w:val="000000"/>
          <w:spacing w:val="13"/>
          <w:kern w:val="0"/>
          <w:sz w:val="28"/>
          <w:szCs w:val="28"/>
        </w:rPr>
        <w:t>表</w:t>
      </w:r>
      <w:r>
        <w:rPr>
          <w:rFonts w:ascii="Times New Roman" w:eastAsia="方正黑体_GBK" w:hAnsi="Times New Roman" w:cs="Times New Roman"/>
          <w:snapToGrid w:val="0"/>
          <w:color w:val="000000"/>
          <w:spacing w:val="13"/>
          <w:kern w:val="0"/>
          <w:sz w:val="28"/>
          <w:szCs w:val="28"/>
        </w:rPr>
        <w:t>4  2025</w:t>
      </w:r>
      <w:r>
        <w:rPr>
          <w:rFonts w:ascii="方正黑体_GBK" w:eastAsia="方正黑体_GBK" w:hAnsi="方正黑体_GBK" w:cs="方正黑体_GBK" w:hint="eastAsia"/>
          <w:snapToGrid w:val="0"/>
          <w:color w:val="000000"/>
          <w:spacing w:val="13"/>
          <w:kern w:val="0"/>
          <w:sz w:val="28"/>
          <w:szCs w:val="28"/>
        </w:rPr>
        <w:t>年度</w:t>
      </w:r>
      <w:proofErr w:type="gramStart"/>
      <w:r>
        <w:rPr>
          <w:rFonts w:ascii="方正黑体_GBK" w:eastAsia="方正黑体_GBK" w:hAnsi="方正黑体_GBK" w:cs="方正黑体_GBK" w:hint="eastAsia"/>
          <w:snapToGrid w:val="0"/>
          <w:color w:val="000000"/>
          <w:spacing w:val="13"/>
          <w:kern w:val="0"/>
          <w:sz w:val="28"/>
          <w:szCs w:val="28"/>
        </w:rPr>
        <w:t>南京市发改委</w:t>
      </w:r>
      <w:proofErr w:type="gramEnd"/>
      <w:r>
        <w:rPr>
          <w:rFonts w:ascii="方正黑体_GBK" w:eastAsia="方正黑体_GBK" w:hAnsi="方正黑体_GBK" w:cs="方正黑体_GBK" w:hint="eastAsia"/>
          <w:snapToGrid w:val="0"/>
          <w:color w:val="000000"/>
          <w:spacing w:val="13"/>
          <w:kern w:val="0"/>
          <w:sz w:val="28"/>
          <w:szCs w:val="28"/>
        </w:rPr>
        <w:t>专项资金执行表</w:t>
      </w:r>
    </w:p>
    <w:p w:rsidR="001A79DF" w:rsidRDefault="00E70674">
      <w:pPr>
        <w:pStyle w:val="3"/>
        <w:ind w:firstLine="640"/>
        <w:rPr>
          <w:sz w:val="24"/>
          <w:szCs w:val="24"/>
        </w:rPr>
      </w:pPr>
      <w:r>
        <w:rPr>
          <w:rFonts w:hint="eastAsia"/>
        </w:rPr>
        <w:t xml:space="preserve">                                     </w:t>
      </w:r>
      <w:r>
        <w:rPr>
          <w:rFonts w:hint="eastAsia"/>
          <w:sz w:val="24"/>
          <w:szCs w:val="24"/>
        </w:rPr>
        <w:t>单位：万元</w:t>
      </w:r>
    </w:p>
    <w:p w:rsidR="001A79DF" w:rsidRDefault="001A79DF">
      <w:pPr>
        <w:widowControl/>
        <w:kinsoku w:val="0"/>
        <w:autoSpaceDE w:val="0"/>
        <w:autoSpaceDN w:val="0"/>
        <w:adjustRightInd w:val="0"/>
        <w:snapToGrid w:val="0"/>
        <w:spacing w:line="139" w:lineRule="exact"/>
        <w:ind w:firstLineChars="0" w:firstLine="0"/>
        <w:jc w:val="left"/>
        <w:textAlignment w:val="baseline"/>
        <w:rPr>
          <w:rFonts w:ascii="Arial" w:eastAsia="宋体" w:hAnsi="Arial" w:cs="Arial"/>
          <w:snapToGrid w:val="0"/>
          <w:color w:val="000000"/>
          <w:kern w:val="0"/>
          <w:sz w:val="21"/>
          <w:szCs w:val="21"/>
        </w:rPr>
      </w:pPr>
    </w:p>
    <w:tbl>
      <w:tblPr>
        <w:tblStyle w:val="TableNormal"/>
        <w:tblW w:w="826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0"/>
        <w:gridCol w:w="1460"/>
        <w:gridCol w:w="1660"/>
        <w:gridCol w:w="1640"/>
        <w:gridCol w:w="1660"/>
      </w:tblGrid>
      <w:tr w:rsidR="001A79DF">
        <w:trPr>
          <w:trHeight w:val="324"/>
        </w:trPr>
        <w:tc>
          <w:tcPr>
            <w:tcW w:w="1840" w:type="dxa"/>
            <w:tcBorders>
              <w:left w:val="nil"/>
            </w:tcBorders>
          </w:tcPr>
          <w:p w:rsidR="001A79DF" w:rsidRDefault="00E70674">
            <w:pPr>
              <w:widowControl/>
              <w:kinsoku w:val="0"/>
              <w:autoSpaceDE w:val="0"/>
              <w:autoSpaceDN w:val="0"/>
              <w:adjustRightInd w:val="0"/>
              <w:snapToGrid w:val="0"/>
              <w:spacing w:before="61" w:line="220" w:lineRule="auto"/>
              <w:ind w:left="522" w:firstLineChars="0" w:firstLine="0"/>
              <w:jc w:val="left"/>
              <w:textAlignment w:val="baseline"/>
              <w:rPr>
                <w:rFonts w:ascii="仿宋" w:eastAsia="仿宋" w:hAnsi="仿宋" w:cs="宋体"/>
                <w:kern w:val="0"/>
                <w:sz w:val="21"/>
                <w:szCs w:val="21"/>
              </w:rPr>
            </w:pPr>
            <w:proofErr w:type="spellStart"/>
            <w:r>
              <w:rPr>
                <w:rFonts w:ascii="仿宋" w:eastAsia="仿宋" w:hAnsi="仿宋" w:cs="宋体"/>
                <w:b/>
                <w:bCs/>
                <w:spacing w:val="-5"/>
                <w:kern w:val="0"/>
                <w:sz w:val="21"/>
                <w:szCs w:val="21"/>
              </w:rPr>
              <w:t>项目名称</w:t>
            </w:r>
            <w:proofErr w:type="spellEnd"/>
          </w:p>
        </w:tc>
        <w:tc>
          <w:tcPr>
            <w:tcW w:w="1460" w:type="dxa"/>
          </w:tcPr>
          <w:p w:rsidR="001A79DF" w:rsidRDefault="00E70674">
            <w:pPr>
              <w:widowControl/>
              <w:kinsoku w:val="0"/>
              <w:autoSpaceDE w:val="0"/>
              <w:autoSpaceDN w:val="0"/>
              <w:adjustRightInd w:val="0"/>
              <w:snapToGrid w:val="0"/>
              <w:spacing w:before="60" w:line="219" w:lineRule="auto"/>
              <w:ind w:left="327" w:firstLineChars="0" w:firstLine="0"/>
              <w:jc w:val="left"/>
              <w:textAlignment w:val="baseline"/>
              <w:rPr>
                <w:rFonts w:ascii="仿宋" w:eastAsia="仿宋" w:hAnsi="仿宋" w:cs="宋体"/>
                <w:kern w:val="0"/>
                <w:sz w:val="21"/>
                <w:szCs w:val="21"/>
              </w:rPr>
            </w:pPr>
            <w:proofErr w:type="spellStart"/>
            <w:r>
              <w:rPr>
                <w:rFonts w:ascii="仿宋" w:eastAsia="仿宋" w:hAnsi="仿宋" w:cs="宋体"/>
                <w:b/>
                <w:bCs/>
                <w:spacing w:val="-4"/>
                <w:kern w:val="0"/>
                <w:sz w:val="21"/>
                <w:szCs w:val="21"/>
              </w:rPr>
              <w:t>年初预算</w:t>
            </w:r>
            <w:proofErr w:type="spellEnd"/>
          </w:p>
        </w:tc>
        <w:tc>
          <w:tcPr>
            <w:tcW w:w="1660" w:type="dxa"/>
          </w:tcPr>
          <w:p w:rsidR="001A79DF" w:rsidRDefault="00E70674">
            <w:pPr>
              <w:widowControl/>
              <w:kinsoku w:val="0"/>
              <w:autoSpaceDE w:val="0"/>
              <w:autoSpaceDN w:val="0"/>
              <w:adjustRightInd w:val="0"/>
              <w:snapToGrid w:val="0"/>
              <w:spacing w:before="60" w:line="219" w:lineRule="auto"/>
              <w:ind w:left="327" w:firstLineChars="0" w:firstLine="0"/>
              <w:jc w:val="left"/>
              <w:textAlignment w:val="baseline"/>
              <w:rPr>
                <w:rFonts w:ascii="仿宋" w:eastAsia="仿宋" w:hAnsi="仿宋" w:cs="宋体"/>
                <w:kern w:val="0"/>
                <w:sz w:val="21"/>
                <w:szCs w:val="21"/>
              </w:rPr>
            </w:pPr>
            <w:proofErr w:type="spellStart"/>
            <w:r>
              <w:rPr>
                <w:rFonts w:ascii="仿宋" w:eastAsia="仿宋" w:hAnsi="仿宋" w:cs="宋体"/>
                <w:b/>
                <w:bCs/>
                <w:spacing w:val="-4"/>
                <w:kern w:val="0"/>
                <w:sz w:val="21"/>
                <w:szCs w:val="21"/>
              </w:rPr>
              <w:t>调整后预算</w:t>
            </w:r>
            <w:proofErr w:type="spellEnd"/>
          </w:p>
        </w:tc>
        <w:tc>
          <w:tcPr>
            <w:tcW w:w="1640" w:type="dxa"/>
          </w:tcPr>
          <w:p w:rsidR="001A79DF" w:rsidRDefault="00E70674">
            <w:pPr>
              <w:widowControl/>
              <w:kinsoku w:val="0"/>
              <w:autoSpaceDE w:val="0"/>
              <w:autoSpaceDN w:val="0"/>
              <w:adjustRightInd w:val="0"/>
              <w:snapToGrid w:val="0"/>
              <w:spacing w:before="60" w:line="219" w:lineRule="auto"/>
              <w:ind w:left="417" w:firstLineChars="0" w:firstLine="0"/>
              <w:jc w:val="left"/>
              <w:textAlignment w:val="baseline"/>
              <w:rPr>
                <w:rFonts w:ascii="仿宋" w:eastAsia="仿宋" w:hAnsi="仿宋" w:cs="宋体"/>
                <w:kern w:val="0"/>
                <w:sz w:val="21"/>
                <w:szCs w:val="21"/>
              </w:rPr>
            </w:pPr>
            <w:proofErr w:type="spellStart"/>
            <w:r>
              <w:rPr>
                <w:rFonts w:ascii="仿宋" w:eastAsia="仿宋" w:hAnsi="仿宋" w:cs="宋体"/>
                <w:b/>
                <w:bCs/>
                <w:spacing w:val="-4"/>
                <w:kern w:val="0"/>
                <w:sz w:val="21"/>
                <w:szCs w:val="21"/>
              </w:rPr>
              <w:t>使用金额</w:t>
            </w:r>
            <w:proofErr w:type="spellEnd"/>
          </w:p>
        </w:tc>
        <w:tc>
          <w:tcPr>
            <w:tcW w:w="1660" w:type="dxa"/>
            <w:tcBorders>
              <w:right w:val="nil"/>
            </w:tcBorders>
          </w:tcPr>
          <w:p w:rsidR="001A79DF" w:rsidRDefault="00E70674">
            <w:pPr>
              <w:widowControl/>
              <w:kinsoku w:val="0"/>
              <w:autoSpaceDE w:val="0"/>
              <w:autoSpaceDN w:val="0"/>
              <w:adjustRightInd w:val="0"/>
              <w:snapToGrid w:val="0"/>
              <w:spacing w:before="60" w:line="219" w:lineRule="auto"/>
              <w:ind w:left="527" w:firstLineChars="0" w:firstLine="0"/>
              <w:jc w:val="left"/>
              <w:textAlignment w:val="baseline"/>
              <w:rPr>
                <w:rFonts w:ascii="仿宋" w:eastAsia="仿宋" w:hAnsi="仿宋" w:cs="宋体"/>
                <w:kern w:val="0"/>
                <w:sz w:val="21"/>
                <w:szCs w:val="21"/>
              </w:rPr>
            </w:pPr>
            <w:proofErr w:type="spellStart"/>
            <w:r>
              <w:rPr>
                <w:rFonts w:ascii="仿宋" w:eastAsia="仿宋" w:hAnsi="仿宋" w:cs="宋体"/>
                <w:b/>
                <w:bCs/>
                <w:spacing w:val="-4"/>
                <w:kern w:val="0"/>
                <w:sz w:val="21"/>
                <w:szCs w:val="21"/>
              </w:rPr>
              <w:t>执行率</w:t>
            </w:r>
            <w:proofErr w:type="spellEnd"/>
          </w:p>
        </w:tc>
      </w:tr>
      <w:tr w:rsidR="001A79DF">
        <w:trPr>
          <w:trHeight w:val="309"/>
        </w:trPr>
        <w:tc>
          <w:tcPr>
            <w:tcW w:w="1840" w:type="dxa"/>
            <w:tcBorders>
              <w:left w:val="nil"/>
            </w:tcBorders>
            <w:vAlign w:val="center"/>
          </w:tcPr>
          <w:p w:rsidR="001A79DF" w:rsidRDefault="00E70674">
            <w:pPr>
              <w:widowControl/>
              <w:kinsoku w:val="0"/>
              <w:autoSpaceDE w:val="0"/>
              <w:autoSpaceDN w:val="0"/>
              <w:adjustRightInd w:val="0"/>
              <w:snapToGrid w:val="0"/>
              <w:spacing w:before="60" w:line="220" w:lineRule="auto"/>
              <w:ind w:firstLineChars="0" w:firstLine="0"/>
              <w:textAlignment w:val="baseline"/>
              <w:rPr>
                <w:rFonts w:ascii="仿宋" w:eastAsia="仿宋" w:hAnsi="仿宋" w:cs="宋体"/>
                <w:kern w:val="0"/>
                <w:sz w:val="21"/>
                <w:szCs w:val="21"/>
              </w:rPr>
            </w:pPr>
            <w:proofErr w:type="spellStart"/>
            <w:r>
              <w:rPr>
                <w:rFonts w:ascii="仿宋" w:eastAsia="仿宋" w:hAnsi="仿宋" w:cs="宋体"/>
                <w:spacing w:val="-2"/>
                <w:kern w:val="0"/>
                <w:sz w:val="21"/>
                <w:szCs w:val="21"/>
              </w:rPr>
              <w:t>基建发展</w:t>
            </w:r>
            <w:proofErr w:type="spellEnd"/>
          </w:p>
        </w:tc>
        <w:tc>
          <w:tcPr>
            <w:tcW w:w="1460" w:type="dxa"/>
            <w:vAlign w:val="center"/>
          </w:tcPr>
          <w:p w:rsidR="001A79DF" w:rsidRDefault="00E70674">
            <w:pPr>
              <w:widowControl/>
              <w:kinsoku w:val="0"/>
              <w:autoSpaceDE w:val="0"/>
              <w:autoSpaceDN w:val="0"/>
              <w:adjustRightInd w:val="0"/>
              <w:snapToGrid w:val="0"/>
              <w:spacing w:before="111" w:line="173" w:lineRule="auto"/>
              <w:ind w:leftChars="34" w:left="102" w:rightChars="52" w:right="156" w:firstLineChars="51" w:firstLine="105"/>
              <w:jc w:val="right"/>
              <w:textAlignment w:val="baseline"/>
              <w:rPr>
                <w:rFonts w:ascii="仿宋" w:eastAsia="仿宋" w:hAnsi="仿宋" w:cs="宋体"/>
                <w:kern w:val="0"/>
                <w:sz w:val="21"/>
                <w:szCs w:val="21"/>
              </w:rPr>
            </w:pPr>
            <w:r>
              <w:rPr>
                <w:rFonts w:ascii="仿宋" w:eastAsia="仿宋" w:hAnsi="仿宋" w:cs="宋体" w:hint="eastAsia"/>
                <w:spacing w:val="-2"/>
                <w:kern w:val="0"/>
                <w:sz w:val="21"/>
                <w:szCs w:val="21"/>
              </w:rPr>
              <w:t>2850</w:t>
            </w:r>
          </w:p>
        </w:tc>
        <w:tc>
          <w:tcPr>
            <w:tcW w:w="1660" w:type="dxa"/>
            <w:vAlign w:val="center"/>
          </w:tcPr>
          <w:p w:rsidR="001A79DF" w:rsidRDefault="00E70674" w:rsidP="00ED6CF1">
            <w:pPr>
              <w:widowControl/>
              <w:kinsoku w:val="0"/>
              <w:autoSpaceDE w:val="0"/>
              <w:autoSpaceDN w:val="0"/>
              <w:adjustRightInd w:val="0"/>
              <w:snapToGrid w:val="0"/>
              <w:spacing w:before="88" w:line="183" w:lineRule="auto"/>
              <w:ind w:leftChars="14" w:left="345" w:rightChars="100" w:right="300" w:hangingChars="147" w:hanging="303"/>
              <w:jc w:val="right"/>
              <w:textAlignment w:val="baseline"/>
              <w:rPr>
                <w:rFonts w:ascii="仿宋" w:eastAsia="仿宋" w:hAnsi="仿宋" w:cs="宋体"/>
                <w:kern w:val="0"/>
                <w:sz w:val="21"/>
                <w:szCs w:val="21"/>
              </w:rPr>
            </w:pPr>
            <w:r>
              <w:rPr>
                <w:rFonts w:ascii="仿宋" w:eastAsia="仿宋" w:hAnsi="仿宋" w:cs="宋体" w:hint="eastAsia"/>
                <w:spacing w:val="-2"/>
                <w:kern w:val="0"/>
                <w:sz w:val="21"/>
                <w:szCs w:val="21"/>
              </w:rPr>
              <w:t>2850</w:t>
            </w:r>
          </w:p>
        </w:tc>
        <w:tc>
          <w:tcPr>
            <w:tcW w:w="1640" w:type="dxa"/>
            <w:vAlign w:val="center"/>
          </w:tcPr>
          <w:p w:rsidR="001A79DF" w:rsidRDefault="00E70674">
            <w:pPr>
              <w:widowControl/>
              <w:kinsoku w:val="0"/>
              <w:autoSpaceDE w:val="0"/>
              <w:autoSpaceDN w:val="0"/>
              <w:adjustRightInd w:val="0"/>
              <w:snapToGrid w:val="0"/>
              <w:spacing w:before="88" w:line="183" w:lineRule="auto"/>
              <w:ind w:leftChars="33" w:left="480" w:rightChars="71" w:right="213" w:hangingChars="185" w:hanging="381"/>
              <w:jc w:val="right"/>
              <w:textAlignment w:val="baseline"/>
              <w:rPr>
                <w:rFonts w:ascii="仿宋" w:eastAsia="仿宋" w:hAnsi="仿宋" w:cs="宋体"/>
                <w:kern w:val="0"/>
                <w:sz w:val="21"/>
                <w:szCs w:val="21"/>
              </w:rPr>
            </w:pPr>
            <w:r>
              <w:rPr>
                <w:rFonts w:ascii="仿宋" w:eastAsia="仿宋" w:hAnsi="仿宋" w:cs="宋体" w:hint="eastAsia"/>
                <w:spacing w:val="-2"/>
                <w:kern w:val="0"/>
                <w:sz w:val="21"/>
                <w:szCs w:val="21"/>
              </w:rPr>
              <w:t>2674.87</w:t>
            </w:r>
          </w:p>
        </w:tc>
        <w:tc>
          <w:tcPr>
            <w:tcW w:w="1660" w:type="dxa"/>
            <w:tcBorders>
              <w:right w:val="nil"/>
            </w:tcBorders>
            <w:vAlign w:val="center"/>
          </w:tcPr>
          <w:p w:rsidR="001A79DF" w:rsidRDefault="00E70674">
            <w:pPr>
              <w:widowControl/>
              <w:kinsoku w:val="0"/>
              <w:autoSpaceDE w:val="0"/>
              <w:autoSpaceDN w:val="0"/>
              <w:adjustRightInd w:val="0"/>
              <w:snapToGrid w:val="0"/>
              <w:spacing w:before="110" w:line="174" w:lineRule="auto"/>
              <w:ind w:leftChars="130" w:left="390" w:rightChars="120" w:right="360" w:firstLineChars="104" w:firstLine="214"/>
              <w:jc w:val="right"/>
              <w:textAlignment w:val="baseline"/>
              <w:rPr>
                <w:rFonts w:ascii="仿宋" w:eastAsia="仿宋" w:hAnsi="仿宋" w:cs="宋体"/>
                <w:kern w:val="0"/>
                <w:sz w:val="21"/>
                <w:szCs w:val="21"/>
              </w:rPr>
            </w:pPr>
            <w:r>
              <w:rPr>
                <w:rFonts w:ascii="仿宋" w:eastAsia="仿宋" w:hAnsi="仿宋" w:cs="宋体" w:hint="eastAsia"/>
                <w:spacing w:val="-2"/>
                <w:kern w:val="0"/>
                <w:sz w:val="21"/>
                <w:szCs w:val="21"/>
              </w:rPr>
              <w:t>93.86</w:t>
            </w:r>
            <w:r>
              <w:rPr>
                <w:rFonts w:ascii="仿宋" w:eastAsia="仿宋" w:hAnsi="仿宋" w:cs="宋体"/>
                <w:spacing w:val="-2"/>
                <w:kern w:val="0"/>
                <w:sz w:val="21"/>
                <w:szCs w:val="21"/>
              </w:rPr>
              <w:t>%</w:t>
            </w:r>
          </w:p>
        </w:tc>
      </w:tr>
      <w:tr w:rsidR="001A79DF">
        <w:trPr>
          <w:trHeight w:val="309"/>
        </w:trPr>
        <w:tc>
          <w:tcPr>
            <w:tcW w:w="1840" w:type="dxa"/>
            <w:tcBorders>
              <w:left w:val="nil"/>
            </w:tcBorders>
            <w:vAlign w:val="center"/>
          </w:tcPr>
          <w:p w:rsidR="001A79DF" w:rsidRDefault="00E70674">
            <w:pPr>
              <w:widowControl/>
              <w:kinsoku w:val="0"/>
              <w:autoSpaceDE w:val="0"/>
              <w:autoSpaceDN w:val="0"/>
              <w:adjustRightInd w:val="0"/>
              <w:snapToGrid w:val="0"/>
              <w:spacing w:before="61" w:line="219" w:lineRule="auto"/>
              <w:ind w:firstLineChars="0" w:firstLine="0"/>
              <w:textAlignment w:val="baseline"/>
              <w:rPr>
                <w:rFonts w:ascii="仿宋" w:eastAsia="仿宋" w:hAnsi="仿宋" w:cs="宋体"/>
                <w:kern w:val="0"/>
                <w:sz w:val="21"/>
                <w:szCs w:val="21"/>
              </w:rPr>
            </w:pPr>
            <w:proofErr w:type="spellStart"/>
            <w:r>
              <w:rPr>
                <w:rFonts w:ascii="仿宋" w:eastAsia="仿宋" w:hAnsi="仿宋" w:cs="宋体"/>
                <w:spacing w:val="2"/>
                <w:kern w:val="0"/>
                <w:sz w:val="21"/>
                <w:szCs w:val="21"/>
              </w:rPr>
              <w:t>粮食专项补助</w:t>
            </w:r>
            <w:proofErr w:type="spellEnd"/>
          </w:p>
        </w:tc>
        <w:tc>
          <w:tcPr>
            <w:tcW w:w="1460" w:type="dxa"/>
            <w:vAlign w:val="center"/>
          </w:tcPr>
          <w:p w:rsidR="001A79DF" w:rsidRDefault="00E70674">
            <w:pPr>
              <w:widowControl/>
              <w:kinsoku w:val="0"/>
              <w:autoSpaceDE w:val="0"/>
              <w:autoSpaceDN w:val="0"/>
              <w:adjustRightInd w:val="0"/>
              <w:snapToGrid w:val="0"/>
              <w:spacing w:before="89" w:line="184" w:lineRule="auto"/>
              <w:ind w:leftChars="34" w:left="102" w:rightChars="52" w:right="156" w:firstLineChars="51" w:firstLine="104"/>
              <w:jc w:val="right"/>
              <w:textAlignment w:val="baseline"/>
              <w:rPr>
                <w:rFonts w:ascii="仿宋" w:eastAsia="仿宋" w:hAnsi="仿宋" w:cs="宋体"/>
                <w:kern w:val="0"/>
                <w:sz w:val="21"/>
                <w:szCs w:val="21"/>
              </w:rPr>
            </w:pPr>
            <w:r>
              <w:rPr>
                <w:rFonts w:ascii="仿宋" w:eastAsia="仿宋" w:hAnsi="仿宋" w:cs="宋体"/>
                <w:spacing w:val="-3"/>
                <w:kern w:val="0"/>
                <w:sz w:val="21"/>
                <w:szCs w:val="21"/>
              </w:rPr>
              <w:t>1</w:t>
            </w:r>
            <w:r>
              <w:rPr>
                <w:rFonts w:ascii="仿宋" w:eastAsia="仿宋" w:hAnsi="仿宋" w:cs="宋体" w:hint="eastAsia"/>
                <w:spacing w:val="-3"/>
                <w:kern w:val="0"/>
                <w:sz w:val="21"/>
                <w:szCs w:val="21"/>
              </w:rPr>
              <w:t>0915</w:t>
            </w:r>
          </w:p>
        </w:tc>
        <w:tc>
          <w:tcPr>
            <w:tcW w:w="1660" w:type="dxa"/>
            <w:vAlign w:val="center"/>
          </w:tcPr>
          <w:p w:rsidR="001A79DF" w:rsidRDefault="00E70674" w:rsidP="00ED6CF1">
            <w:pPr>
              <w:widowControl/>
              <w:kinsoku w:val="0"/>
              <w:autoSpaceDE w:val="0"/>
              <w:autoSpaceDN w:val="0"/>
              <w:adjustRightInd w:val="0"/>
              <w:snapToGrid w:val="0"/>
              <w:spacing w:before="89" w:line="184" w:lineRule="auto"/>
              <w:ind w:leftChars="14" w:left="342" w:rightChars="100" w:right="300" w:hangingChars="147" w:hanging="300"/>
              <w:jc w:val="right"/>
              <w:textAlignment w:val="baseline"/>
              <w:rPr>
                <w:rFonts w:ascii="仿宋" w:eastAsia="仿宋" w:hAnsi="仿宋" w:cs="宋体"/>
                <w:kern w:val="0"/>
                <w:sz w:val="21"/>
                <w:szCs w:val="21"/>
              </w:rPr>
            </w:pPr>
            <w:r>
              <w:rPr>
                <w:rFonts w:ascii="仿宋" w:eastAsia="仿宋" w:hAnsi="仿宋" w:cs="宋体" w:hint="eastAsia"/>
                <w:spacing w:val="-3"/>
                <w:kern w:val="0"/>
                <w:sz w:val="21"/>
                <w:szCs w:val="21"/>
              </w:rPr>
              <w:t>10915</w:t>
            </w:r>
          </w:p>
        </w:tc>
        <w:tc>
          <w:tcPr>
            <w:tcW w:w="1640" w:type="dxa"/>
            <w:vAlign w:val="center"/>
          </w:tcPr>
          <w:p w:rsidR="001A79DF" w:rsidRDefault="00E70674">
            <w:pPr>
              <w:widowControl/>
              <w:kinsoku w:val="0"/>
              <w:autoSpaceDE w:val="0"/>
              <w:autoSpaceDN w:val="0"/>
              <w:adjustRightInd w:val="0"/>
              <w:snapToGrid w:val="0"/>
              <w:spacing w:before="89" w:line="184" w:lineRule="auto"/>
              <w:ind w:leftChars="33" w:left="476" w:rightChars="71" w:right="213" w:hangingChars="185" w:hanging="377"/>
              <w:jc w:val="right"/>
              <w:textAlignment w:val="baseline"/>
              <w:rPr>
                <w:rFonts w:ascii="仿宋" w:eastAsia="仿宋" w:hAnsi="仿宋" w:cs="宋体"/>
                <w:kern w:val="0"/>
                <w:sz w:val="21"/>
                <w:szCs w:val="21"/>
              </w:rPr>
            </w:pPr>
            <w:r>
              <w:rPr>
                <w:rFonts w:ascii="仿宋" w:eastAsia="仿宋" w:hAnsi="仿宋" w:cs="宋体" w:hint="eastAsia"/>
                <w:spacing w:val="-3"/>
                <w:kern w:val="0"/>
                <w:sz w:val="21"/>
                <w:szCs w:val="21"/>
              </w:rPr>
              <w:t>10193.48</w:t>
            </w:r>
          </w:p>
        </w:tc>
        <w:tc>
          <w:tcPr>
            <w:tcW w:w="1660" w:type="dxa"/>
            <w:tcBorders>
              <w:right w:val="nil"/>
            </w:tcBorders>
            <w:vAlign w:val="center"/>
          </w:tcPr>
          <w:p w:rsidR="001A79DF" w:rsidRDefault="00E70674">
            <w:pPr>
              <w:widowControl/>
              <w:kinsoku w:val="0"/>
              <w:autoSpaceDE w:val="0"/>
              <w:autoSpaceDN w:val="0"/>
              <w:adjustRightInd w:val="0"/>
              <w:snapToGrid w:val="0"/>
              <w:spacing w:before="113" w:line="171" w:lineRule="auto"/>
              <w:ind w:leftChars="130" w:left="390" w:rightChars="120" w:right="360" w:firstLineChars="104" w:firstLine="214"/>
              <w:jc w:val="right"/>
              <w:textAlignment w:val="baseline"/>
              <w:rPr>
                <w:rFonts w:ascii="仿宋" w:eastAsia="仿宋" w:hAnsi="仿宋" w:cs="宋体"/>
                <w:kern w:val="0"/>
                <w:sz w:val="21"/>
                <w:szCs w:val="21"/>
              </w:rPr>
            </w:pPr>
            <w:r>
              <w:rPr>
                <w:rFonts w:ascii="仿宋" w:eastAsia="仿宋" w:hAnsi="仿宋" w:cs="宋体" w:hint="eastAsia"/>
                <w:spacing w:val="-2"/>
                <w:kern w:val="0"/>
                <w:sz w:val="21"/>
                <w:szCs w:val="21"/>
              </w:rPr>
              <w:t>93.39</w:t>
            </w:r>
            <w:r>
              <w:rPr>
                <w:rFonts w:ascii="仿宋" w:eastAsia="仿宋" w:hAnsi="仿宋" w:cs="宋体"/>
                <w:spacing w:val="-2"/>
                <w:kern w:val="0"/>
                <w:sz w:val="21"/>
                <w:szCs w:val="21"/>
              </w:rPr>
              <w:t>%</w:t>
            </w:r>
          </w:p>
        </w:tc>
      </w:tr>
      <w:tr w:rsidR="001A79DF">
        <w:trPr>
          <w:trHeight w:val="617"/>
        </w:trPr>
        <w:tc>
          <w:tcPr>
            <w:tcW w:w="1840" w:type="dxa"/>
            <w:tcBorders>
              <w:left w:val="nil"/>
            </w:tcBorders>
            <w:vAlign w:val="center"/>
          </w:tcPr>
          <w:p w:rsidR="001A79DF" w:rsidRDefault="00E70674">
            <w:pPr>
              <w:widowControl/>
              <w:kinsoku w:val="0"/>
              <w:autoSpaceDE w:val="0"/>
              <w:autoSpaceDN w:val="0"/>
              <w:adjustRightInd w:val="0"/>
              <w:snapToGrid w:val="0"/>
              <w:spacing w:before="63" w:line="251" w:lineRule="auto"/>
              <w:ind w:right="222" w:firstLineChars="0" w:firstLine="0"/>
              <w:textAlignment w:val="baseline"/>
              <w:rPr>
                <w:rFonts w:ascii="仿宋" w:eastAsia="仿宋" w:hAnsi="仿宋" w:cs="宋体"/>
                <w:kern w:val="0"/>
                <w:sz w:val="21"/>
                <w:szCs w:val="21"/>
                <w:lang w:eastAsia="zh-CN"/>
              </w:rPr>
            </w:pPr>
            <w:r>
              <w:rPr>
                <w:rFonts w:ascii="仿宋" w:eastAsia="仿宋" w:hAnsi="仿宋" w:cs="宋体"/>
                <w:spacing w:val="-2"/>
                <w:kern w:val="0"/>
                <w:sz w:val="21"/>
                <w:szCs w:val="21"/>
                <w:lang w:eastAsia="zh-CN"/>
              </w:rPr>
              <w:t>应急救灾物资采购及仓储</w:t>
            </w:r>
          </w:p>
        </w:tc>
        <w:tc>
          <w:tcPr>
            <w:tcW w:w="1460" w:type="dxa"/>
            <w:vAlign w:val="center"/>
          </w:tcPr>
          <w:p w:rsidR="001A79DF" w:rsidRDefault="00E70674">
            <w:pPr>
              <w:widowControl/>
              <w:kinsoku w:val="0"/>
              <w:autoSpaceDE w:val="0"/>
              <w:autoSpaceDN w:val="0"/>
              <w:adjustRightInd w:val="0"/>
              <w:snapToGrid w:val="0"/>
              <w:spacing w:before="264" w:line="183" w:lineRule="auto"/>
              <w:ind w:leftChars="34" w:left="102" w:rightChars="52" w:right="156" w:firstLineChars="51" w:firstLine="105"/>
              <w:jc w:val="right"/>
              <w:textAlignment w:val="baseline"/>
              <w:rPr>
                <w:rFonts w:ascii="仿宋" w:eastAsia="仿宋" w:hAnsi="仿宋" w:cs="宋体"/>
                <w:kern w:val="0"/>
                <w:sz w:val="21"/>
                <w:szCs w:val="21"/>
              </w:rPr>
            </w:pPr>
            <w:r>
              <w:rPr>
                <w:rFonts w:ascii="仿宋" w:eastAsia="仿宋" w:hAnsi="仿宋" w:cs="宋体" w:hint="eastAsia"/>
                <w:spacing w:val="-2"/>
                <w:kern w:val="0"/>
                <w:sz w:val="21"/>
                <w:szCs w:val="21"/>
              </w:rPr>
              <w:t>340</w:t>
            </w:r>
          </w:p>
        </w:tc>
        <w:tc>
          <w:tcPr>
            <w:tcW w:w="1660" w:type="dxa"/>
            <w:vAlign w:val="center"/>
          </w:tcPr>
          <w:p w:rsidR="001A79DF" w:rsidRDefault="00E70674" w:rsidP="00ED6CF1">
            <w:pPr>
              <w:widowControl/>
              <w:kinsoku w:val="0"/>
              <w:autoSpaceDE w:val="0"/>
              <w:autoSpaceDN w:val="0"/>
              <w:adjustRightInd w:val="0"/>
              <w:snapToGrid w:val="0"/>
              <w:spacing w:before="264" w:line="183" w:lineRule="auto"/>
              <w:ind w:leftChars="14" w:left="345" w:rightChars="100" w:right="300" w:hangingChars="147" w:hanging="303"/>
              <w:jc w:val="right"/>
              <w:textAlignment w:val="baseline"/>
              <w:rPr>
                <w:rFonts w:ascii="仿宋" w:eastAsia="仿宋" w:hAnsi="仿宋" w:cs="宋体"/>
                <w:kern w:val="0"/>
                <w:sz w:val="21"/>
                <w:szCs w:val="21"/>
              </w:rPr>
            </w:pPr>
            <w:r>
              <w:rPr>
                <w:rFonts w:ascii="仿宋" w:eastAsia="仿宋" w:hAnsi="仿宋" w:cs="宋体" w:hint="eastAsia"/>
                <w:spacing w:val="-2"/>
                <w:kern w:val="0"/>
                <w:sz w:val="21"/>
                <w:szCs w:val="21"/>
              </w:rPr>
              <w:t>340</w:t>
            </w:r>
          </w:p>
        </w:tc>
        <w:tc>
          <w:tcPr>
            <w:tcW w:w="1640" w:type="dxa"/>
            <w:vAlign w:val="center"/>
          </w:tcPr>
          <w:p w:rsidR="001A79DF" w:rsidRDefault="00E70674">
            <w:pPr>
              <w:widowControl/>
              <w:kinsoku w:val="0"/>
              <w:autoSpaceDE w:val="0"/>
              <w:autoSpaceDN w:val="0"/>
              <w:adjustRightInd w:val="0"/>
              <w:snapToGrid w:val="0"/>
              <w:spacing w:before="263" w:line="184" w:lineRule="auto"/>
              <w:ind w:leftChars="33" w:left="480" w:rightChars="71" w:right="213" w:hangingChars="185" w:hanging="381"/>
              <w:jc w:val="right"/>
              <w:textAlignment w:val="baseline"/>
              <w:rPr>
                <w:rFonts w:ascii="仿宋" w:eastAsia="仿宋" w:hAnsi="仿宋" w:cs="宋体"/>
                <w:kern w:val="0"/>
                <w:sz w:val="21"/>
                <w:szCs w:val="21"/>
              </w:rPr>
            </w:pPr>
            <w:r>
              <w:rPr>
                <w:rFonts w:ascii="仿宋" w:eastAsia="仿宋" w:hAnsi="仿宋" w:cs="宋体" w:hint="eastAsia"/>
                <w:spacing w:val="-2"/>
                <w:kern w:val="0"/>
                <w:sz w:val="21"/>
                <w:szCs w:val="21"/>
              </w:rPr>
              <w:t>254.90</w:t>
            </w:r>
          </w:p>
        </w:tc>
        <w:tc>
          <w:tcPr>
            <w:tcW w:w="1660" w:type="dxa"/>
            <w:tcBorders>
              <w:right w:val="nil"/>
            </w:tcBorders>
            <w:vAlign w:val="center"/>
          </w:tcPr>
          <w:p w:rsidR="001A79DF" w:rsidRDefault="00E70674">
            <w:pPr>
              <w:widowControl/>
              <w:kinsoku w:val="0"/>
              <w:autoSpaceDE w:val="0"/>
              <w:autoSpaceDN w:val="0"/>
              <w:adjustRightInd w:val="0"/>
              <w:snapToGrid w:val="0"/>
              <w:spacing w:before="264" w:line="183" w:lineRule="auto"/>
              <w:ind w:leftChars="130" w:left="390" w:rightChars="120" w:right="360" w:firstLineChars="104" w:firstLine="214"/>
              <w:jc w:val="right"/>
              <w:textAlignment w:val="baseline"/>
              <w:rPr>
                <w:rFonts w:ascii="仿宋" w:eastAsia="仿宋" w:hAnsi="仿宋" w:cs="宋体"/>
                <w:kern w:val="0"/>
                <w:sz w:val="21"/>
                <w:szCs w:val="21"/>
              </w:rPr>
            </w:pPr>
            <w:r>
              <w:rPr>
                <w:rFonts w:ascii="仿宋" w:eastAsia="仿宋" w:hAnsi="仿宋" w:cs="宋体" w:hint="eastAsia"/>
                <w:spacing w:val="-2"/>
                <w:kern w:val="0"/>
                <w:sz w:val="21"/>
                <w:szCs w:val="21"/>
              </w:rPr>
              <w:t>74.97%</w:t>
            </w:r>
          </w:p>
        </w:tc>
      </w:tr>
      <w:tr w:rsidR="001A79DF">
        <w:trPr>
          <w:trHeight w:val="323"/>
        </w:trPr>
        <w:tc>
          <w:tcPr>
            <w:tcW w:w="1840" w:type="dxa"/>
            <w:tcBorders>
              <w:left w:val="nil"/>
            </w:tcBorders>
          </w:tcPr>
          <w:p w:rsidR="001A79DF" w:rsidRDefault="00E70674">
            <w:pPr>
              <w:widowControl/>
              <w:kinsoku w:val="0"/>
              <w:autoSpaceDE w:val="0"/>
              <w:autoSpaceDN w:val="0"/>
              <w:adjustRightInd w:val="0"/>
              <w:snapToGrid w:val="0"/>
              <w:spacing w:before="64" w:line="221" w:lineRule="auto"/>
              <w:ind w:left="722" w:firstLineChars="0" w:firstLine="0"/>
              <w:jc w:val="left"/>
              <w:textAlignment w:val="baseline"/>
              <w:rPr>
                <w:rFonts w:ascii="仿宋" w:eastAsia="仿宋" w:hAnsi="仿宋" w:cs="宋体"/>
                <w:kern w:val="0"/>
                <w:sz w:val="21"/>
                <w:szCs w:val="21"/>
              </w:rPr>
            </w:pPr>
            <w:proofErr w:type="spellStart"/>
            <w:r>
              <w:rPr>
                <w:rFonts w:ascii="仿宋" w:eastAsia="仿宋" w:hAnsi="仿宋" w:cs="宋体"/>
                <w:b/>
                <w:bCs/>
                <w:spacing w:val="-5"/>
                <w:kern w:val="0"/>
                <w:sz w:val="21"/>
                <w:szCs w:val="21"/>
              </w:rPr>
              <w:t>合计</w:t>
            </w:r>
            <w:proofErr w:type="spellEnd"/>
          </w:p>
        </w:tc>
        <w:tc>
          <w:tcPr>
            <w:tcW w:w="1460" w:type="dxa"/>
            <w:vAlign w:val="center"/>
          </w:tcPr>
          <w:p w:rsidR="001A79DF" w:rsidRDefault="00E70674">
            <w:pPr>
              <w:widowControl/>
              <w:kinsoku w:val="0"/>
              <w:autoSpaceDE w:val="0"/>
              <w:autoSpaceDN w:val="0"/>
              <w:adjustRightInd w:val="0"/>
              <w:snapToGrid w:val="0"/>
              <w:spacing w:before="91" w:line="183" w:lineRule="auto"/>
              <w:ind w:leftChars="34" w:left="102" w:rightChars="52" w:right="156" w:firstLineChars="51" w:firstLine="103"/>
              <w:jc w:val="right"/>
              <w:textAlignment w:val="baseline"/>
              <w:rPr>
                <w:rFonts w:ascii="仿宋" w:eastAsia="仿宋" w:hAnsi="仿宋" w:cs="宋体"/>
                <w:kern w:val="0"/>
                <w:sz w:val="21"/>
                <w:szCs w:val="21"/>
              </w:rPr>
            </w:pPr>
            <w:r>
              <w:rPr>
                <w:rFonts w:ascii="仿宋" w:eastAsia="仿宋" w:hAnsi="仿宋" w:cs="宋体" w:hint="eastAsia"/>
                <w:b/>
                <w:bCs/>
                <w:spacing w:val="-4"/>
                <w:kern w:val="0"/>
                <w:sz w:val="21"/>
                <w:szCs w:val="21"/>
              </w:rPr>
              <w:t>14105</w:t>
            </w:r>
          </w:p>
        </w:tc>
        <w:tc>
          <w:tcPr>
            <w:tcW w:w="1660" w:type="dxa"/>
            <w:vAlign w:val="center"/>
          </w:tcPr>
          <w:p w:rsidR="001A79DF" w:rsidRDefault="00E70674">
            <w:pPr>
              <w:widowControl/>
              <w:kinsoku w:val="0"/>
              <w:autoSpaceDE w:val="0"/>
              <w:autoSpaceDN w:val="0"/>
              <w:adjustRightInd w:val="0"/>
              <w:snapToGrid w:val="0"/>
              <w:spacing w:before="91" w:line="183" w:lineRule="auto"/>
              <w:ind w:leftChars="14" w:left="340" w:rightChars="100" w:right="300" w:hangingChars="147" w:hanging="298"/>
              <w:jc w:val="right"/>
              <w:textAlignment w:val="baseline"/>
              <w:rPr>
                <w:rFonts w:ascii="仿宋" w:eastAsia="仿宋" w:hAnsi="仿宋" w:cs="宋体"/>
                <w:kern w:val="0"/>
                <w:sz w:val="21"/>
                <w:szCs w:val="21"/>
              </w:rPr>
            </w:pPr>
            <w:r>
              <w:rPr>
                <w:rFonts w:ascii="仿宋" w:eastAsia="仿宋" w:hAnsi="仿宋" w:cs="宋体" w:hint="eastAsia"/>
                <w:b/>
                <w:bCs/>
                <w:spacing w:val="-4"/>
                <w:kern w:val="0"/>
                <w:sz w:val="21"/>
                <w:szCs w:val="21"/>
              </w:rPr>
              <w:t>14105</w:t>
            </w:r>
          </w:p>
        </w:tc>
        <w:tc>
          <w:tcPr>
            <w:tcW w:w="1640" w:type="dxa"/>
            <w:vAlign w:val="center"/>
          </w:tcPr>
          <w:p w:rsidR="001A79DF" w:rsidRDefault="00E70674">
            <w:pPr>
              <w:widowControl/>
              <w:kinsoku w:val="0"/>
              <w:autoSpaceDE w:val="0"/>
              <w:autoSpaceDN w:val="0"/>
              <w:adjustRightInd w:val="0"/>
              <w:snapToGrid w:val="0"/>
              <w:spacing w:before="90" w:line="184" w:lineRule="auto"/>
              <w:ind w:leftChars="33" w:left="474" w:rightChars="71" w:right="213" w:hangingChars="185" w:hanging="375"/>
              <w:jc w:val="right"/>
              <w:textAlignment w:val="baseline"/>
              <w:rPr>
                <w:rFonts w:ascii="仿宋" w:eastAsia="仿宋" w:hAnsi="仿宋" w:cs="宋体"/>
                <w:kern w:val="0"/>
                <w:sz w:val="21"/>
                <w:szCs w:val="21"/>
              </w:rPr>
            </w:pPr>
            <w:r>
              <w:rPr>
                <w:rFonts w:ascii="仿宋" w:eastAsia="仿宋" w:hAnsi="仿宋" w:cs="宋体" w:hint="eastAsia"/>
                <w:b/>
                <w:bCs/>
                <w:color w:val="auto"/>
                <w:spacing w:val="-4"/>
                <w:kern w:val="0"/>
                <w:sz w:val="21"/>
                <w:szCs w:val="21"/>
              </w:rPr>
              <w:t>13123.25</w:t>
            </w:r>
          </w:p>
        </w:tc>
        <w:tc>
          <w:tcPr>
            <w:tcW w:w="1660" w:type="dxa"/>
            <w:tcBorders>
              <w:right w:val="nil"/>
            </w:tcBorders>
            <w:vAlign w:val="center"/>
          </w:tcPr>
          <w:p w:rsidR="001A79DF" w:rsidRDefault="00E70674">
            <w:pPr>
              <w:widowControl/>
              <w:kinsoku w:val="0"/>
              <w:autoSpaceDE w:val="0"/>
              <w:autoSpaceDN w:val="0"/>
              <w:adjustRightInd w:val="0"/>
              <w:snapToGrid w:val="0"/>
              <w:spacing w:before="115" w:line="182" w:lineRule="auto"/>
              <w:ind w:leftChars="130" w:left="390" w:rightChars="120" w:right="360" w:firstLineChars="104" w:firstLine="211"/>
              <w:jc w:val="right"/>
              <w:textAlignment w:val="baseline"/>
              <w:rPr>
                <w:rFonts w:ascii="仿宋" w:eastAsia="仿宋" w:hAnsi="仿宋" w:cs="宋体"/>
                <w:kern w:val="0"/>
                <w:sz w:val="21"/>
                <w:szCs w:val="21"/>
              </w:rPr>
            </w:pPr>
            <w:r>
              <w:rPr>
                <w:rFonts w:ascii="仿宋" w:eastAsia="仿宋" w:hAnsi="仿宋" w:cs="宋体" w:hint="eastAsia"/>
                <w:b/>
                <w:bCs/>
                <w:spacing w:val="-4"/>
                <w:kern w:val="0"/>
                <w:sz w:val="21"/>
                <w:szCs w:val="21"/>
              </w:rPr>
              <w:t>93.04</w:t>
            </w:r>
            <w:r>
              <w:rPr>
                <w:rFonts w:ascii="仿宋" w:eastAsia="仿宋" w:hAnsi="仿宋" w:cs="宋体"/>
                <w:b/>
                <w:bCs/>
                <w:spacing w:val="-4"/>
                <w:kern w:val="0"/>
                <w:sz w:val="21"/>
                <w:szCs w:val="21"/>
              </w:rPr>
              <w:t>%</w:t>
            </w:r>
          </w:p>
        </w:tc>
      </w:tr>
    </w:tbl>
    <w:p w:rsidR="001A79DF" w:rsidRDefault="00E70674">
      <w:pPr>
        <w:ind w:firstLine="640"/>
        <w:rPr>
          <w:rFonts w:ascii="仿宋" w:eastAsia="仿宋" w:hAnsi="仿宋" w:cs="Times New Roman"/>
          <w:sz w:val="32"/>
          <w:szCs w:val="32"/>
        </w:rPr>
      </w:pPr>
      <w:r>
        <w:rPr>
          <w:rFonts w:ascii="仿宋" w:eastAsia="仿宋" w:hAnsi="仿宋" w:cs="Times New Roman" w:hint="eastAsia"/>
          <w:sz w:val="32"/>
          <w:szCs w:val="32"/>
        </w:rPr>
        <w:t>专项资金项目情况详情如下：</w:t>
      </w:r>
    </w:p>
    <w:p w:rsidR="001A79DF" w:rsidRDefault="00E70674">
      <w:pPr>
        <w:pStyle w:val="a4"/>
        <w:spacing w:after="0" w:line="500" w:lineRule="exact"/>
        <w:ind w:firstLine="640"/>
        <w:rPr>
          <w:rFonts w:ascii="Times New Roman" w:eastAsia="方正仿宋_GBK" w:hAnsi="Times New Roman" w:cs="方正仿宋_GBK"/>
          <w:sz w:val="32"/>
          <w:szCs w:val="32"/>
        </w:rPr>
      </w:pPr>
      <w:bookmarkStart w:id="43" w:name="_Toc15633"/>
      <w:bookmarkStart w:id="44" w:name="_Toc28348"/>
      <w:bookmarkStart w:id="45" w:name="_Toc169773113"/>
      <w:bookmarkStart w:id="46" w:name="_Toc170474490"/>
      <w:bookmarkEnd w:id="38"/>
      <w:bookmarkEnd w:id="39"/>
      <w:bookmarkEnd w:id="40"/>
      <w:r>
        <w:rPr>
          <w:rFonts w:ascii="Times New Roman" w:eastAsia="方正仿宋_GBK" w:hAnsi="Times New Roman" w:cs="方正仿宋_GBK" w:hint="eastAsia"/>
          <w:sz w:val="32"/>
          <w:szCs w:val="32"/>
        </w:rPr>
        <w:t>（</w:t>
      </w:r>
      <w:r>
        <w:rPr>
          <w:rFonts w:ascii="Times New Roman" w:eastAsia="方正仿宋_GBK" w:hAnsi="Times New Roman" w:cs="方正仿宋_GBK"/>
          <w:sz w:val="32"/>
          <w:szCs w:val="32"/>
        </w:rPr>
        <w:t>1</w:t>
      </w:r>
      <w:r>
        <w:rPr>
          <w:rFonts w:ascii="Times New Roman" w:eastAsia="方正仿宋_GBK" w:hAnsi="Times New Roman" w:cs="方正仿宋_GBK" w:hint="eastAsia"/>
          <w:sz w:val="32"/>
          <w:szCs w:val="32"/>
        </w:rPr>
        <w:t>）</w:t>
      </w:r>
      <w:r>
        <w:rPr>
          <w:rFonts w:ascii="Times New Roman" w:eastAsia="方正仿宋_GBK" w:hAnsi="Times New Roman" w:cs="方正仿宋_GBK"/>
          <w:sz w:val="32"/>
          <w:szCs w:val="32"/>
        </w:rPr>
        <w:t>市级统筹基建专项</w:t>
      </w:r>
    </w:p>
    <w:p w:rsidR="001A79DF" w:rsidRDefault="00E70674">
      <w:pPr>
        <w:pStyle w:val="af0"/>
        <w:ind w:firstLine="640"/>
        <w:jc w:val="left"/>
        <w:rPr>
          <w:rFonts w:cs="方正仿宋_GBK"/>
        </w:rPr>
      </w:pPr>
      <w:r>
        <w:rPr>
          <w:rFonts w:cs="方正仿宋_GBK" w:hint="eastAsia"/>
        </w:rPr>
        <w:t>该专项资金主要用于推进基础设施项目建设。</w:t>
      </w:r>
      <w:r>
        <w:rPr>
          <w:rFonts w:cs="方正仿宋_GBK"/>
        </w:rPr>
        <w:t>202</w:t>
      </w:r>
      <w:r>
        <w:rPr>
          <w:rFonts w:cs="方正仿宋_GBK" w:hint="eastAsia"/>
        </w:rPr>
        <w:t>5</w:t>
      </w:r>
      <w:r>
        <w:rPr>
          <w:rFonts w:cs="方正仿宋_GBK"/>
        </w:rPr>
        <w:t>年度南京市</w:t>
      </w:r>
      <w:r>
        <w:rPr>
          <w:rFonts w:cs="方正仿宋_GBK" w:hint="eastAsia"/>
        </w:rPr>
        <w:t>市级统筹基建</w:t>
      </w:r>
      <w:r>
        <w:rPr>
          <w:rFonts w:cs="方正仿宋_GBK"/>
        </w:rPr>
        <w:t>专项资金共计</w:t>
      </w:r>
      <w:r>
        <w:rPr>
          <w:rFonts w:cs="方正仿宋_GBK" w:hint="eastAsia"/>
        </w:rPr>
        <w:t>投入</w:t>
      </w:r>
      <w:r>
        <w:rPr>
          <w:rFonts w:cs="方正仿宋_GBK" w:hint="eastAsia"/>
        </w:rPr>
        <w:t>2850</w:t>
      </w:r>
      <w:r>
        <w:rPr>
          <w:rFonts w:cs="方正仿宋_GBK" w:hint="eastAsia"/>
        </w:rPr>
        <w:t>万元，扶持</w:t>
      </w:r>
      <w:r>
        <w:rPr>
          <w:rFonts w:cs="方正仿宋_GBK" w:hint="eastAsia"/>
        </w:rPr>
        <w:t>30</w:t>
      </w:r>
      <w:r>
        <w:rPr>
          <w:rFonts w:cs="方正仿宋_GBK"/>
        </w:rPr>
        <w:t>个项目</w:t>
      </w:r>
      <w:r>
        <w:rPr>
          <w:rFonts w:cs="方正仿宋_GBK" w:hint="eastAsia"/>
        </w:rPr>
        <w:t>，涵盖</w:t>
      </w:r>
      <w:r>
        <w:rPr>
          <w:rFonts w:cs="方正仿宋_GBK"/>
        </w:rPr>
        <w:t>基础</w:t>
      </w:r>
      <w:r>
        <w:rPr>
          <w:rFonts w:cs="方正仿宋_GBK" w:hint="eastAsia"/>
        </w:rPr>
        <w:t>教育</w:t>
      </w:r>
      <w:r>
        <w:rPr>
          <w:rFonts w:cs="方正仿宋_GBK"/>
        </w:rPr>
        <w:t>、</w:t>
      </w:r>
      <w:r>
        <w:rPr>
          <w:rFonts w:cs="方正仿宋_GBK" w:hint="eastAsia"/>
        </w:rPr>
        <w:t>医疗发展</w:t>
      </w:r>
      <w:r>
        <w:rPr>
          <w:rFonts w:cs="方正仿宋_GBK"/>
        </w:rPr>
        <w:t>、公共服务、</w:t>
      </w:r>
      <w:r>
        <w:rPr>
          <w:rFonts w:cs="方正仿宋_GBK" w:hint="eastAsia"/>
        </w:rPr>
        <w:t>消险加固</w:t>
      </w:r>
      <w:r>
        <w:rPr>
          <w:rFonts w:cs="方正仿宋_GBK"/>
        </w:rPr>
        <w:t>四个方向</w:t>
      </w:r>
      <w:r>
        <w:rPr>
          <w:rFonts w:cs="方正仿宋_GBK" w:hint="eastAsia"/>
        </w:rPr>
        <w:t>。资金实际拨付</w:t>
      </w:r>
      <w:r>
        <w:rPr>
          <w:rFonts w:cs="方正仿宋_GBK" w:hint="eastAsia"/>
        </w:rPr>
        <w:t>2,850.00</w:t>
      </w:r>
      <w:r>
        <w:rPr>
          <w:rFonts w:cs="方正仿宋_GBK" w:hint="eastAsia"/>
        </w:rPr>
        <w:t>万元，实际支出</w:t>
      </w:r>
      <w:r>
        <w:rPr>
          <w:rFonts w:cs="方正仿宋_GBK" w:hint="eastAsia"/>
        </w:rPr>
        <w:t>2674.87</w:t>
      </w:r>
      <w:r>
        <w:rPr>
          <w:rFonts w:cs="方正仿宋_GBK" w:hint="eastAsia"/>
        </w:rPr>
        <w:t>万元，资金使用率为</w:t>
      </w:r>
      <w:r>
        <w:rPr>
          <w:rFonts w:cs="方正仿宋_GBK" w:hint="eastAsia"/>
        </w:rPr>
        <w:t>93.86%</w:t>
      </w:r>
      <w:r>
        <w:rPr>
          <w:rFonts w:cs="方正仿宋_GBK" w:hint="eastAsia"/>
        </w:rPr>
        <w:t>。</w:t>
      </w:r>
    </w:p>
    <w:p w:rsidR="001A79DF" w:rsidRDefault="00E70674">
      <w:pPr>
        <w:pStyle w:val="af0"/>
        <w:adjustRightInd w:val="0"/>
        <w:ind w:firstLine="640"/>
        <w:jc w:val="both"/>
        <w:rPr>
          <w:rFonts w:cs="方正仿宋_GBK"/>
        </w:rPr>
      </w:pPr>
      <w:r>
        <w:rPr>
          <w:rFonts w:cs="方正仿宋_GBK" w:hint="eastAsia"/>
        </w:rPr>
        <w:t>（</w:t>
      </w:r>
      <w:r>
        <w:rPr>
          <w:rFonts w:cs="方正仿宋_GBK" w:hint="eastAsia"/>
        </w:rPr>
        <w:t>2</w:t>
      </w:r>
      <w:r>
        <w:rPr>
          <w:rFonts w:cs="方正仿宋_GBK" w:hint="eastAsia"/>
        </w:rPr>
        <w:t>）</w:t>
      </w:r>
      <w:r>
        <w:rPr>
          <w:rFonts w:cs="方正仿宋_GBK"/>
        </w:rPr>
        <w:t>粮食专项</w:t>
      </w:r>
    </w:p>
    <w:p w:rsidR="001A79DF" w:rsidRDefault="00E70674">
      <w:pPr>
        <w:pStyle w:val="af0"/>
        <w:adjustRightInd w:val="0"/>
        <w:ind w:firstLine="640"/>
        <w:jc w:val="both"/>
        <w:rPr>
          <w:rFonts w:cs="方正仿宋_GBK"/>
        </w:rPr>
      </w:pPr>
      <w:r>
        <w:rPr>
          <w:rFonts w:cs="方正仿宋_GBK" w:hint="eastAsia"/>
        </w:rPr>
        <w:t>该专项资金主要包括粮食储备专项资金、粮食仓储物流能力建设及产业发展专项资金。</w:t>
      </w:r>
      <w:r>
        <w:rPr>
          <w:rFonts w:cs="方正仿宋_GBK" w:hint="eastAsia"/>
        </w:rPr>
        <w:t>2025</w:t>
      </w:r>
      <w:r>
        <w:rPr>
          <w:rFonts w:cs="方正仿宋_GBK" w:hint="eastAsia"/>
        </w:rPr>
        <w:t>年度粮食专项补助资金项目市级财政补贴预算金额为</w:t>
      </w:r>
      <w:r>
        <w:rPr>
          <w:rFonts w:cs="方正仿宋_GBK" w:hint="eastAsia"/>
        </w:rPr>
        <w:t>10915</w:t>
      </w:r>
      <w:r>
        <w:rPr>
          <w:rFonts w:cs="方正仿宋_GBK" w:hint="eastAsia"/>
        </w:rPr>
        <w:t>万元，市级财政补贴预算资金执行金额为</w:t>
      </w:r>
      <w:r>
        <w:rPr>
          <w:rFonts w:cs="方正仿宋_GBK" w:hint="eastAsia"/>
        </w:rPr>
        <w:t>10193.48</w:t>
      </w:r>
      <w:r>
        <w:rPr>
          <w:rFonts w:cs="方正仿宋_GBK" w:hint="eastAsia"/>
        </w:rPr>
        <w:t>万元，预算执行率为</w:t>
      </w:r>
      <w:r>
        <w:rPr>
          <w:rFonts w:cs="方正仿宋_GBK" w:hint="eastAsia"/>
        </w:rPr>
        <w:t>93.39%</w:t>
      </w:r>
      <w:r>
        <w:rPr>
          <w:rFonts w:cs="方正仿宋_GBK" w:hint="eastAsia"/>
        </w:rPr>
        <w:t>。</w:t>
      </w:r>
    </w:p>
    <w:p w:rsidR="001A79DF" w:rsidRDefault="00E70674">
      <w:pPr>
        <w:pStyle w:val="af0"/>
        <w:adjustRightInd w:val="0"/>
        <w:ind w:firstLineChars="0" w:firstLine="0"/>
        <w:jc w:val="both"/>
        <w:rPr>
          <w:rFonts w:cs="方正仿宋_GBK"/>
        </w:rPr>
      </w:pPr>
      <w:r>
        <w:rPr>
          <w:rFonts w:cs="方正仿宋_GBK" w:hint="eastAsia"/>
        </w:rPr>
        <w:t xml:space="preserve">    </w:t>
      </w:r>
      <w:r>
        <w:rPr>
          <w:rFonts w:cs="方正仿宋_GBK" w:hint="eastAsia"/>
        </w:rPr>
        <w:t>（</w:t>
      </w:r>
      <w:r>
        <w:rPr>
          <w:rFonts w:cs="方正仿宋_GBK" w:hint="eastAsia"/>
        </w:rPr>
        <w:t>3</w:t>
      </w:r>
      <w:r>
        <w:rPr>
          <w:rFonts w:cs="方正仿宋_GBK" w:hint="eastAsia"/>
        </w:rPr>
        <w:t>）应急救灾物资仓储服务费及实物和协议采购专项</w:t>
      </w:r>
    </w:p>
    <w:p w:rsidR="001A79DF" w:rsidRDefault="00E70674">
      <w:pPr>
        <w:pStyle w:val="af0"/>
        <w:adjustRightInd w:val="0"/>
        <w:ind w:firstLine="640"/>
        <w:jc w:val="both"/>
        <w:rPr>
          <w:rFonts w:cs="方正仿宋_GBK"/>
        </w:rPr>
      </w:pPr>
      <w:r>
        <w:rPr>
          <w:rFonts w:cs="方正仿宋_GBK" w:hint="eastAsia"/>
        </w:rPr>
        <w:t>该专项资金主要包括应急救灾物资储备和物资采购两个方面。</w:t>
      </w:r>
      <w:r>
        <w:rPr>
          <w:rFonts w:cs="方正仿宋_GBK"/>
        </w:rPr>
        <w:t>202</w:t>
      </w:r>
      <w:r>
        <w:rPr>
          <w:rFonts w:cs="方正仿宋_GBK" w:hint="eastAsia"/>
        </w:rPr>
        <w:t>5</w:t>
      </w:r>
      <w:r>
        <w:rPr>
          <w:rFonts w:cs="方正仿宋_GBK"/>
        </w:rPr>
        <w:t>年度</w:t>
      </w:r>
      <w:r>
        <w:rPr>
          <w:rFonts w:cs="方正仿宋_GBK" w:hint="eastAsia"/>
        </w:rPr>
        <w:t>应急救灾物资仓储服务费及实物和协议采</w:t>
      </w:r>
      <w:r>
        <w:rPr>
          <w:rFonts w:cs="方正仿宋_GBK" w:hint="eastAsia"/>
        </w:rPr>
        <w:lastRenderedPageBreak/>
        <w:t>购专项资金</w:t>
      </w:r>
      <w:r>
        <w:rPr>
          <w:rFonts w:cs="方正仿宋_GBK"/>
        </w:rPr>
        <w:t>预算为</w:t>
      </w:r>
      <w:r>
        <w:rPr>
          <w:rFonts w:cs="方正仿宋_GBK" w:hint="eastAsia"/>
        </w:rPr>
        <w:t>340</w:t>
      </w:r>
      <w:r>
        <w:rPr>
          <w:rFonts w:cs="方正仿宋_GBK"/>
        </w:rPr>
        <w:t>万元，</w:t>
      </w:r>
      <w:r>
        <w:rPr>
          <w:rFonts w:cs="方正仿宋_GBK" w:hint="eastAsia"/>
        </w:rPr>
        <w:t>实际支出</w:t>
      </w:r>
      <w:r>
        <w:rPr>
          <w:rFonts w:cs="方正仿宋_GBK" w:hint="eastAsia"/>
        </w:rPr>
        <w:t>254.9</w:t>
      </w:r>
      <w:r>
        <w:rPr>
          <w:rFonts w:cs="方正仿宋_GBK" w:hint="eastAsia"/>
        </w:rPr>
        <w:t>万元，</w:t>
      </w:r>
      <w:r>
        <w:rPr>
          <w:rFonts w:cs="方正仿宋_GBK"/>
        </w:rPr>
        <w:t>预算执行率</w:t>
      </w:r>
      <w:r>
        <w:rPr>
          <w:rFonts w:cs="方正仿宋_GBK" w:hint="eastAsia"/>
        </w:rPr>
        <w:t>74.97</w:t>
      </w:r>
      <w:r>
        <w:rPr>
          <w:rFonts w:cs="方正仿宋_GBK"/>
        </w:rPr>
        <w:t>%</w:t>
      </w:r>
      <w:r>
        <w:rPr>
          <w:rFonts w:cs="方正仿宋_GBK"/>
        </w:rPr>
        <w:t>。</w:t>
      </w:r>
    </w:p>
    <w:p w:rsidR="001A79DF" w:rsidRDefault="00E70674">
      <w:pPr>
        <w:numPr>
          <w:ilvl w:val="0"/>
          <w:numId w:val="2"/>
        </w:numPr>
        <w:spacing w:line="560" w:lineRule="exact"/>
        <w:ind w:firstLine="600"/>
        <w:rPr>
          <w:rFonts w:ascii="Times New Roman" w:eastAsia="方正楷体_GBK" w:hAnsi="Times New Roman" w:cs="方正楷体_GBK"/>
        </w:rPr>
      </w:pPr>
      <w:r>
        <w:rPr>
          <w:rFonts w:ascii="Times New Roman" w:eastAsia="方正楷体_GBK" w:hAnsi="Times New Roman" w:cs="方正楷体_GBK" w:hint="eastAsia"/>
        </w:rPr>
        <w:t>部门绩效目标</w:t>
      </w:r>
      <w:bookmarkStart w:id="47" w:name="_Toc170302024"/>
      <w:bookmarkStart w:id="48" w:name="_Toc169774646"/>
      <w:bookmarkStart w:id="49" w:name="_Toc170474491"/>
      <w:bookmarkEnd w:id="43"/>
      <w:bookmarkEnd w:id="44"/>
      <w:bookmarkEnd w:id="45"/>
      <w:bookmarkEnd w:id="46"/>
    </w:p>
    <w:p w:rsidR="001A79DF" w:rsidRDefault="00E70674">
      <w:pPr>
        <w:spacing w:line="560" w:lineRule="exact"/>
        <w:ind w:firstLine="600"/>
        <w:rPr>
          <w:rFonts w:ascii="Times New Roman" w:hAnsi="Times New Roman" w:cs="方正仿宋_GBK"/>
        </w:rPr>
      </w:pPr>
      <w:r>
        <w:rPr>
          <w:rFonts w:ascii="Times New Roman" w:hAnsi="Times New Roman" w:cs="方正仿宋_GBK" w:hint="eastAsia"/>
        </w:rPr>
        <w:t>1</w:t>
      </w:r>
      <w:r>
        <w:rPr>
          <w:rFonts w:ascii="Times New Roman" w:hAnsi="Times New Roman" w:cs="方正仿宋_GBK" w:hint="eastAsia"/>
        </w:rPr>
        <w:t>．部门中长期目标</w:t>
      </w:r>
      <w:bookmarkEnd w:id="47"/>
      <w:bookmarkEnd w:id="48"/>
      <w:bookmarkEnd w:id="49"/>
    </w:p>
    <w:p w:rsidR="001A79DF" w:rsidRDefault="00E70674">
      <w:pPr>
        <w:spacing w:line="560" w:lineRule="exact"/>
        <w:ind w:firstLine="640"/>
        <w:rPr>
          <w:rFonts w:ascii="Times New Roman" w:hAnsi="Times New Roman" w:cs="方正仿宋_GBK"/>
          <w:sz w:val="32"/>
          <w:szCs w:val="32"/>
        </w:rPr>
      </w:pPr>
      <w:proofErr w:type="gramStart"/>
      <w:r>
        <w:rPr>
          <w:rFonts w:ascii="Times New Roman" w:hAnsi="Times New Roman" w:cs="方正仿宋_GBK" w:hint="eastAsia"/>
          <w:sz w:val="32"/>
          <w:szCs w:val="32"/>
        </w:rPr>
        <w:t>市发改委以</w:t>
      </w:r>
      <w:proofErr w:type="gramEnd"/>
      <w:r>
        <w:rPr>
          <w:rFonts w:ascii="Times New Roman" w:hAnsi="Times New Roman" w:cs="方正仿宋_GBK" w:hint="eastAsia"/>
          <w:sz w:val="32"/>
          <w:szCs w:val="32"/>
        </w:rPr>
        <w:t>习近平新时代中国特色社会主义思想为指导，深入学习党的二十大精神和习近平总书记关于江苏工作重要讲话重要指示精神，全面贯彻党中央国务院、省委省政府决策部署和市委市政府工作要求，认真落实“一带一路”、长江经济带、长三角一体化等国家重大战略，强化重大规划引领，加强经济运行调度，统筹有效投资扩大，推动产业强市建设，深化重大改革任务，提升民生保障水平，为南京在推进中国式现代化中走在前做示范，谱写“强富美高”新南京现代化建设新篇章提供有力保障。</w:t>
      </w:r>
      <w:r>
        <w:rPr>
          <w:rFonts w:ascii="Times New Roman" w:hAnsi="Times New Roman" w:cs="方正仿宋_GBK" w:hint="eastAsia"/>
          <w:sz w:val="32"/>
          <w:szCs w:val="32"/>
        </w:rPr>
        <w:t xml:space="preserve"> </w:t>
      </w:r>
    </w:p>
    <w:p w:rsidR="001A79DF" w:rsidRDefault="00E70674">
      <w:pPr>
        <w:pStyle w:val="3"/>
        <w:spacing w:line="560" w:lineRule="exact"/>
        <w:ind w:firstLine="640"/>
        <w:rPr>
          <w:rFonts w:ascii="Times New Roman" w:eastAsia="方正仿宋_GBK" w:hAnsi="Times New Roman" w:cs="方正仿宋_GBK"/>
        </w:rPr>
      </w:pPr>
      <w:bookmarkStart w:id="50" w:name="_Toc170302025"/>
      <w:bookmarkStart w:id="51" w:name="_Toc170474492"/>
      <w:bookmarkStart w:id="52" w:name="_Toc169774647"/>
      <w:bookmarkStart w:id="53" w:name="_Toc32274"/>
      <w:bookmarkStart w:id="54" w:name="_Toc20716"/>
      <w:bookmarkStart w:id="55" w:name="_Toc4411"/>
      <w:bookmarkStart w:id="56" w:name="_Toc10670"/>
      <w:bookmarkStart w:id="57" w:name="_Toc1373"/>
      <w:bookmarkStart w:id="58" w:name="_Toc29305"/>
      <w:bookmarkStart w:id="59" w:name="_Toc169773114"/>
      <w:bookmarkStart w:id="60" w:name="_Toc170474493"/>
      <w:r>
        <w:rPr>
          <w:rFonts w:ascii="Times New Roman" w:eastAsia="方正仿宋_GBK" w:hAnsi="Times New Roman" w:cs="方正仿宋_GBK" w:hint="eastAsia"/>
        </w:rPr>
        <w:t>2</w:t>
      </w:r>
      <w:r>
        <w:rPr>
          <w:rFonts w:ascii="Times New Roman" w:eastAsia="方正仿宋_GBK" w:hAnsi="Times New Roman" w:cs="方正仿宋_GBK" w:hint="eastAsia"/>
        </w:rPr>
        <w:t>．年度目标</w:t>
      </w:r>
      <w:bookmarkEnd w:id="50"/>
      <w:bookmarkEnd w:id="51"/>
      <w:bookmarkEnd w:id="52"/>
    </w:p>
    <w:p w:rsidR="001A79DF" w:rsidRDefault="00E70674">
      <w:pPr>
        <w:spacing w:line="560" w:lineRule="exact"/>
        <w:ind w:firstLine="640"/>
        <w:rPr>
          <w:rFonts w:ascii="Times New Roman" w:hAnsi="Times New Roman" w:cs="方正仿宋_GBK"/>
          <w:sz w:val="32"/>
          <w:szCs w:val="32"/>
        </w:rPr>
      </w:pPr>
      <w:r>
        <w:rPr>
          <w:rFonts w:ascii="Times New Roman" w:hAnsi="Times New Roman" w:cs="方正仿宋_GBK" w:hint="eastAsia"/>
          <w:sz w:val="32"/>
          <w:szCs w:val="32"/>
        </w:rPr>
        <w:t>根据</w:t>
      </w:r>
      <w:proofErr w:type="gramStart"/>
      <w:r>
        <w:rPr>
          <w:rFonts w:ascii="Times New Roman" w:hAnsi="Times New Roman" w:cs="方正仿宋_GBK" w:hint="eastAsia"/>
          <w:sz w:val="32"/>
          <w:szCs w:val="32"/>
        </w:rPr>
        <w:t>市发改委</w:t>
      </w:r>
      <w:proofErr w:type="gramEnd"/>
      <w:r>
        <w:rPr>
          <w:rFonts w:ascii="Times New Roman" w:hAnsi="Times New Roman" w:cs="方正仿宋_GBK" w:hint="eastAsia"/>
          <w:sz w:val="32"/>
          <w:szCs w:val="32"/>
        </w:rPr>
        <w:t>2025</w:t>
      </w:r>
      <w:r>
        <w:rPr>
          <w:rFonts w:ascii="Times New Roman" w:hAnsi="Times New Roman" w:cs="方正仿宋_GBK" w:hint="eastAsia"/>
          <w:sz w:val="32"/>
          <w:szCs w:val="32"/>
        </w:rPr>
        <w:t>年度部门预算绩效目标申报表、</w:t>
      </w:r>
      <w:r>
        <w:rPr>
          <w:rFonts w:ascii="Times New Roman" w:hAnsi="Times New Roman" w:cs="方正仿宋_GBK" w:hint="eastAsia"/>
          <w:sz w:val="32"/>
          <w:szCs w:val="32"/>
        </w:rPr>
        <w:t>2025</w:t>
      </w:r>
      <w:r>
        <w:rPr>
          <w:rFonts w:ascii="Times New Roman" w:hAnsi="Times New Roman" w:cs="方正仿宋_GBK" w:hint="eastAsia"/>
          <w:sz w:val="32"/>
          <w:szCs w:val="32"/>
        </w:rPr>
        <w:t>年度主要工作任务等有关文件，</w:t>
      </w:r>
      <w:r>
        <w:rPr>
          <w:rFonts w:ascii="Times New Roman" w:hAnsi="Times New Roman" w:cs="方正仿宋_GBK" w:hint="eastAsia"/>
          <w:sz w:val="32"/>
          <w:szCs w:val="32"/>
        </w:rPr>
        <w:t>2025</w:t>
      </w:r>
      <w:r>
        <w:rPr>
          <w:rFonts w:ascii="Times New Roman" w:hAnsi="Times New Roman" w:cs="方正仿宋_GBK" w:hint="eastAsia"/>
          <w:sz w:val="32"/>
          <w:szCs w:val="32"/>
        </w:rPr>
        <w:t>年度</w:t>
      </w:r>
      <w:proofErr w:type="gramStart"/>
      <w:r>
        <w:rPr>
          <w:rFonts w:ascii="Times New Roman" w:hAnsi="Times New Roman" w:cs="方正仿宋_GBK" w:hint="eastAsia"/>
          <w:sz w:val="32"/>
          <w:szCs w:val="32"/>
        </w:rPr>
        <w:t>市发改委</w:t>
      </w:r>
      <w:proofErr w:type="gramEnd"/>
      <w:r>
        <w:rPr>
          <w:rFonts w:ascii="Times New Roman" w:hAnsi="Times New Roman" w:cs="方正仿宋_GBK" w:hint="eastAsia"/>
          <w:sz w:val="32"/>
          <w:szCs w:val="32"/>
        </w:rPr>
        <w:t>工作年度目标梳理如下：</w:t>
      </w:r>
    </w:p>
    <w:p w:rsidR="001A79DF" w:rsidRDefault="00E70674">
      <w:pPr>
        <w:pStyle w:val="a9"/>
        <w:spacing w:line="560" w:lineRule="exact"/>
        <w:ind w:leftChars="0" w:left="0" w:firstLineChars="0" w:firstLine="0"/>
        <w:jc w:val="center"/>
        <w:rPr>
          <w:rFonts w:eastAsia="方正黑体_GBK" w:cs="方正黑体_GBK"/>
          <w:szCs w:val="28"/>
        </w:rPr>
      </w:pPr>
      <w:r>
        <w:rPr>
          <w:rFonts w:eastAsia="方正黑体_GBK" w:cs="方正黑体_GBK" w:hint="eastAsia"/>
          <w:szCs w:val="28"/>
        </w:rPr>
        <w:t>表</w:t>
      </w:r>
      <w:r>
        <w:rPr>
          <w:rFonts w:eastAsia="方正黑体_GBK" w:cs="方正黑体_GBK" w:hint="eastAsia"/>
          <w:szCs w:val="28"/>
        </w:rPr>
        <w:t>5  2025</w:t>
      </w:r>
      <w:r>
        <w:rPr>
          <w:rFonts w:eastAsia="方正黑体_GBK" w:cs="方正黑体_GBK" w:hint="eastAsia"/>
          <w:szCs w:val="28"/>
        </w:rPr>
        <w:t>年度</w:t>
      </w:r>
      <w:proofErr w:type="gramStart"/>
      <w:r>
        <w:rPr>
          <w:rFonts w:eastAsia="方正黑体_GBK" w:cs="方正黑体_GBK" w:hint="eastAsia"/>
          <w:szCs w:val="28"/>
        </w:rPr>
        <w:t>南京市发改委</w:t>
      </w:r>
      <w:proofErr w:type="gramEnd"/>
      <w:r>
        <w:rPr>
          <w:rFonts w:eastAsia="方正黑体_GBK" w:cs="方正黑体_GBK" w:hint="eastAsia"/>
          <w:szCs w:val="28"/>
        </w:rPr>
        <w:t>年度绩效目标表</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
        <w:gridCol w:w="1861"/>
        <w:gridCol w:w="3411"/>
        <w:gridCol w:w="2148"/>
      </w:tblGrid>
      <w:tr w:rsidR="001A79DF">
        <w:trPr>
          <w:trHeight w:val="23"/>
        </w:trPr>
        <w:tc>
          <w:tcPr>
            <w:tcW w:w="645" w:type="pct"/>
            <w:tcBorders>
              <w:tl2br w:val="nil"/>
              <w:tr2bl w:val="nil"/>
            </w:tcBorders>
            <w:shd w:val="clear" w:color="000000" w:fill="FFFFFF"/>
            <w:vAlign w:val="center"/>
          </w:tcPr>
          <w:p w:rsidR="001A79DF" w:rsidRDefault="00E70674">
            <w:pPr>
              <w:widowControl/>
              <w:spacing w:line="560" w:lineRule="exact"/>
              <w:ind w:firstLineChars="0" w:firstLine="0"/>
              <w:jc w:val="center"/>
              <w:rPr>
                <w:rFonts w:ascii="Times New Roman" w:eastAsia="方正黑体_GBK" w:hAnsi="Times New Roman" w:cs="方正黑体_GBK"/>
                <w:color w:val="000000"/>
                <w:kern w:val="0"/>
                <w:sz w:val="21"/>
                <w:szCs w:val="21"/>
              </w:rPr>
            </w:pPr>
            <w:r>
              <w:rPr>
                <w:rFonts w:ascii="Times New Roman" w:eastAsia="方正黑体_GBK" w:hAnsi="Times New Roman" w:cs="方正黑体_GBK" w:hint="eastAsia"/>
                <w:color w:val="000000"/>
                <w:kern w:val="0"/>
                <w:sz w:val="21"/>
                <w:szCs w:val="21"/>
              </w:rPr>
              <w:t>一级指标</w:t>
            </w:r>
          </w:p>
        </w:tc>
        <w:tc>
          <w:tcPr>
            <w:tcW w:w="1091" w:type="pct"/>
            <w:tcBorders>
              <w:tl2br w:val="nil"/>
              <w:tr2bl w:val="nil"/>
            </w:tcBorders>
            <w:shd w:val="clear" w:color="000000" w:fill="FFFFFF"/>
            <w:vAlign w:val="center"/>
          </w:tcPr>
          <w:p w:rsidR="001A79DF" w:rsidRDefault="00E70674">
            <w:pPr>
              <w:widowControl/>
              <w:spacing w:line="560" w:lineRule="exact"/>
              <w:ind w:firstLineChars="0" w:firstLine="0"/>
              <w:jc w:val="center"/>
              <w:rPr>
                <w:rFonts w:ascii="Times New Roman" w:eastAsia="方正黑体_GBK" w:hAnsi="Times New Roman" w:cs="方正黑体_GBK"/>
                <w:color w:val="000000"/>
                <w:kern w:val="0"/>
                <w:sz w:val="21"/>
                <w:szCs w:val="21"/>
              </w:rPr>
            </w:pPr>
            <w:r>
              <w:rPr>
                <w:rFonts w:ascii="Times New Roman" w:eastAsia="方正黑体_GBK" w:hAnsi="Times New Roman" w:cs="方正黑体_GBK" w:hint="eastAsia"/>
                <w:color w:val="000000"/>
                <w:kern w:val="0"/>
                <w:sz w:val="21"/>
                <w:szCs w:val="21"/>
              </w:rPr>
              <w:t>二级指标</w:t>
            </w:r>
          </w:p>
        </w:tc>
        <w:tc>
          <w:tcPr>
            <w:tcW w:w="2001" w:type="pct"/>
            <w:tcBorders>
              <w:tl2br w:val="nil"/>
              <w:tr2bl w:val="nil"/>
            </w:tcBorders>
            <w:shd w:val="clear" w:color="auto" w:fill="auto"/>
            <w:vAlign w:val="center"/>
          </w:tcPr>
          <w:p w:rsidR="001A79DF" w:rsidRDefault="00E70674">
            <w:pPr>
              <w:widowControl/>
              <w:spacing w:line="560" w:lineRule="exact"/>
              <w:ind w:firstLineChars="0" w:firstLine="0"/>
              <w:jc w:val="center"/>
              <w:rPr>
                <w:rFonts w:ascii="Times New Roman" w:eastAsia="方正黑体_GBK" w:hAnsi="Times New Roman" w:cs="方正黑体_GBK"/>
                <w:color w:val="000000"/>
                <w:kern w:val="0"/>
                <w:sz w:val="21"/>
                <w:szCs w:val="21"/>
              </w:rPr>
            </w:pPr>
            <w:r>
              <w:rPr>
                <w:rFonts w:ascii="Times New Roman" w:eastAsia="方正黑体_GBK" w:hAnsi="Times New Roman" w:cs="方正黑体_GBK" w:hint="eastAsia"/>
                <w:color w:val="000000"/>
                <w:kern w:val="0"/>
                <w:sz w:val="21"/>
                <w:szCs w:val="21"/>
              </w:rPr>
              <w:t>三级指标</w:t>
            </w:r>
          </w:p>
        </w:tc>
        <w:tc>
          <w:tcPr>
            <w:tcW w:w="1260" w:type="pct"/>
            <w:tcBorders>
              <w:tl2br w:val="nil"/>
              <w:tr2bl w:val="nil"/>
            </w:tcBorders>
            <w:shd w:val="clear" w:color="auto" w:fill="auto"/>
            <w:vAlign w:val="center"/>
          </w:tcPr>
          <w:p w:rsidR="001A79DF" w:rsidRDefault="00E70674">
            <w:pPr>
              <w:widowControl/>
              <w:spacing w:line="560" w:lineRule="exact"/>
              <w:ind w:firstLineChars="0" w:firstLine="0"/>
              <w:jc w:val="center"/>
              <w:rPr>
                <w:rFonts w:ascii="Times New Roman" w:eastAsia="方正黑体_GBK" w:hAnsi="Times New Roman" w:cs="方正黑体_GBK"/>
                <w:color w:val="000000"/>
                <w:kern w:val="0"/>
                <w:sz w:val="21"/>
                <w:szCs w:val="21"/>
              </w:rPr>
            </w:pPr>
            <w:r>
              <w:rPr>
                <w:rFonts w:ascii="Times New Roman" w:eastAsia="方正黑体_GBK" w:hAnsi="Times New Roman" w:cs="方正黑体_GBK" w:hint="eastAsia"/>
                <w:color w:val="000000"/>
                <w:kern w:val="0"/>
                <w:sz w:val="21"/>
                <w:szCs w:val="21"/>
              </w:rPr>
              <w:t>目标值</w:t>
            </w:r>
          </w:p>
        </w:tc>
      </w:tr>
      <w:tr w:rsidR="001A79DF">
        <w:trPr>
          <w:trHeight w:val="23"/>
        </w:trPr>
        <w:tc>
          <w:tcPr>
            <w:tcW w:w="645" w:type="pct"/>
            <w:vMerge w:val="restart"/>
            <w:tcBorders>
              <w:tl2br w:val="nil"/>
              <w:tr2bl w:val="nil"/>
            </w:tcBorders>
            <w:shd w:val="clear" w:color="000000" w:fill="FFFFFF"/>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产出</w:t>
            </w:r>
          </w:p>
        </w:tc>
        <w:tc>
          <w:tcPr>
            <w:tcW w:w="1091" w:type="pct"/>
            <w:vMerge w:val="restart"/>
            <w:tcBorders>
              <w:tl2br w:val="nil"/>
              <w:tr2bl w:val="nil"/>
            </w:tcBorders>
            <w:shd w:val="clear" w:color="000000" w:fill="FFFFFF"/>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经济发展与评价</w:t>
            </w:r>
          </w:p>
        </w:tc>
        <w:tc>
          <w:tcPr>
            <w:tcW w:w="2001" w:type="pct"/>
            <w:tcBorders>
              <w:tl2br w:val="nil"/>
              <w:tr2bl w:val="nil"/>
            </w:tcBorders>
            <w:shd w:val="clear" w:color="auto" w:fill="auto"/>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固定资产投资项目节能评审数</w:t>
            </w:r>
          </w:p>
        </w:tc>
        <w:tc>
          <w:tcPr>
            <w:tcW w:w="1260" w:type="pct"/>
            <w:tcBorders>
              <w:tl2br w:val="nil"/>
              <w:tr2bl w:val="nil"/>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仿宋_GBK"/>
                <w:color w:val="000000"/>
                <w:kern w:val="0"/>
                <w:sz w:val="21"/>
                <w:szCs w:val="21"/>
              </w:rPr>
            </w:pPr>
            <w:r>
              <w:rPr>
                <w:rFonts w:ascii="Times New Roman" w:eastAsia="方正楷体_GBK" w:hAnsi="Times New Roman" w:cs="方正楷体_GBK" w:hint="eastAsia"/>
                <w:color w:val="000000"/>
                <w:kern w:val="0"/>
                <w:sz w:val="22"/>
              </w:rPr>
              <w:t>≥</w:t>
            </w:r>
            <w:r>
              <w:rPr>
                <w:rFonts w:ascii="Times New Roman" w:eastAsia="方正楷体_GBK" w:hAnsi="Times New Roman" w:cs="方正楷体_GBK" w:hint="eastAsia"/>
                <w:color w:val="000000"/>
                <w:kern w:val="0"/>
                <w:sz w:val="22"/>
              </w:rPr>
              <w:t>15</w:t>
            </w:r>
          </w:p>
        </w:tc>
      </w:tr>
      <w:tr w:rsidR="001A79DF">
        <w:trPr>
          <w:trHeight w:val="23"/>
        </w:trPr>
        <w:tc>
          <w:tcPr>
            <w:tcW w:w="645"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1091"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2001" w:type="pct"/>
            <w:tcBorders>
              <w:tl2br w:val="nil"/>
              <w:tr2bl w:val="nil"/>
            </w:tcBorders>
            <w:shd w:val="clear" w:color="auto" w:fill="auto"/>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完成竣工验收项目数</w:t>
            </w:r>
          </w:p>
        </w:tc>
        <w:tc>
          <w:tcPr>
            <w:tcW w:w="1260" w:type="pct"/>
            <w:tcBorders>
              <w:tl2br w:val="nil"/>
              <w:tr2bl w:val="nil"/>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仿宋_GBK"/>
                <w:color w:val="000000"/>
                <w:kern w:val="0"/>
                <w:sz w:val="21"/>
                <w:szCs w:val="21"/>
              </w:rPr>
            </w:pPr>
            <w:r>
              <w:rPr>
                <w:rFonts w:ascii="Times New Roman" w:eastAsia="方正楷体_GBK" w:hAnsi="Times New Roman" w:cs="方正楷体_GBK" w:hint="eastAsia"/>
                <w:color w:val="000000"/>
                <w:kern w:val="0"/>
                <w:sz w:val="22"/>
              </w:rPr>
              <w:t>≥</w:t>
            </w:r>
            <w:r>
              <w:rPr>
                <w:rFonts w:ascii="Times New Roman" w:eastAsia="方正楷体_GBK" w:hAnsi="Times New Roman" w:cs="方正楷体_GBK" w:hint="eastAsia"/>
                <w:color w:val="000000"/>
                <w:kern w:val="0"/>
                <w:sz w:val="22"/>
              </w:rPr>
              <w:t>5</w:t>
            </w:r>
          </w:p>
        </w:tc>
      </w:tr>
      <w:tr w:rsidR="001A79DF">
        <w:trPr>
          <w:trHeight w:val="23"/>
        </w:trPr>
        <w:tc>
          <w:tcPr>
            <w:tcW w:w="645"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1091"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2001" w:type="pct"/>
            <w:tcBorders>
              <w:tl2br w:val="nil"/>
              <w:tr2bl w:val="nil"/>
            </w:tcBorders>
            <w:shd w:val="clear" w:color="auto" w:fill="auto"/>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举办“双碳”相关活动次数</w:t>
            </w:r>
          </w:p>
        </w:tc>
        <w:tc>
          <w:tcPr>
            <w:tcW w:w="1260" w:type="pct"/>
            <w:tcBorders>
              <w:tl2br w:val="nil"/>
              <w:tr2bl w:val="nil"/>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仿宋_GBK"/>
                <w:color w:val="000000"/>
                <w:kern w:val="0"/>
                <w:sz w:val="21"/>
                <w:szCs w:val="21"/>
              </w:rPr>
            </w:pPr>
            <w:r>
              <w:rPr>
                <w:rFonts w:ascii="Times New Roman" w:eastAsia="方正楷体_GBK" w:hAnsi="Times New Roman" w:cs="方正楷体_GBK" w:hint="eastAsia"/>
                <w:color w:val="000000"/>
                <w:kern w:val="0"/>
                <w:sz w:val="22"/>
              </w:rPr>
              <w:t>≥</w:t>
            </w:r>
            <w:r>
              <w:rPr>
                <w:rFonts w:ascii="Times New Roman" w:eastAsia="方正楷体_GBK" w:hAnsi="Times New Roman" w:cs="方正楷体_GBK" w:hint="eastAsia"/>
                <w:color w:val="000000"/>
                <w:kern w:val="0"/>
                <w:sz w:val="22"/>
              </w:rPr>
              <w:t>1</w:t>
            </w:r>
          </w:p>
        </w:tc>
      </w:tr>
      <w:tr w:rsidR="001A79DF">
        <w:trPr>
          <w:trHeight w:val="23"/>
        </w:trPr>
        <w:tc>
          <w:tcPr>
            <w:tcW w:w="645"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1091" w:type="pct"/>
            <w:vMerge w:val="restart"/>
            <w:tcBorders>
              <w:tl2br w:val="nil"/>
              <w:tr2bl w:val="nil"/>
            </w:tcBorders>
            <w:shd w:val="clear" w:color="000000" w:fill="FFFFFF"/>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社会民生发展研究</w:t>
            </w:r>
          </w:p>
        </w:tc>
        <w:tc>
          <w:tcPr>
            <w:tcW w:w="2001" w:type="pct"/>
            <w:tcBorders>
              <w:tl2br w:val="nil"/>
              <w:tr2bl w:val="nil"/>
            </w:tcBorders>
            <w:shd w:val="clear" w:color="auto" w:fill="auto"/>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形成调研报告、经济形势分析数量</w:t>
            </w:r>
          </w:p>
        </w:tc>
        <w:tc>
          <w:tcPr>
            <w:tcW w:w="1260" w:type="pct"/>
            <w:tcBorders>
              <w:tl2br w:val="nil"/>
              <w:tr2bl w:val="nil"/>
            </w:tcBorders>
            <w:shd w:val="clear" w:color="auto" w:fill="auto"/>
            <w:vAlign w:val="center"/>
          </w:tcPr>
          <w:p w:rsidR="001A79DF" w:rsidRDefault="00E70674">
            <w:pPr>
              <w:widowControl/>
              <w:spacing w:line="560" w:lineRule="exact"/>
              <w:ind w:firstLineChars="0" w:firstLine="0"/>
              <w:jc w:val="center"/>
              <w:rPr>
                <w:rFonts w:ascii="Times New Roman" w:hAnsi="Times New Roman" w:cs="方正仿宋_GBK"/>
                <w:color w:val="000000"/>
                <w:kern w:val="0"/>
                <w:sz w:val="21"/>
                <w:szCs w:val="21"/>
              </w:rPr>
            </w:pPr>
            <w:r>
              <w:rPr>
                <w:rFonts w:ascii="Times New Roman" w:eastAsia="方正楷体_GBK" w:hAnsi="Times New Roman" w:cs="方正楷体_GBK" w:hint="eastAsia"/>
                <w:color w:val="000000"/>
                <w:kern w:val="0"/>
                <w:sz w:val="22"/>
              </w:rPr>
              <w:t>≥</w:t>
            </w:r>
            <w:r>
              <w:rPr>
                <w:rFonts w:ascii="Times New Roman" w:eastAsia="方正楷体_GBK" w:hAnsi="Times New Roman" w:cs="方正楷体_GBK" w:hint="eastAsia"/>
                <w:color w:val="000000"/>
                <w:kern w:val="0"/>
                <w:sz w:val="22"/>
              </w:rPr>
              <w:t>10</w:t>
            </w:r>
            <w:r>
              <w:rPr>
                <w:rFonts w:ascii="Times New Roman" w:eastAsia="方正楷体_GBK" w:hAnsi="Times New Roman" w:cs="方正楷体_GBK" w:hint="eastAsia"/>
                <w:color w:val="000000"/>
                <w:kern w:val="0"/>
                <w:sz w:val="22"/>
              </w:rPr>
              <w:t>篇</w:t>
            </w:r>
          </w:p>
        </w:tc>
      </w:tr>
      <w:tr w:rsidR="001A79DF">
        <w:trPr>
          <w:trHeight w:val="23"/>
        </w:trPr>
        <w:tc>
          <w:tcPr>
            <w:tcW w:w="645"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1091"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2001" w:type="pct"/>
            <w:tcBorders>
              <w:tl2br w:val="nil"/>
              <w:tr2bl w:val="nil"/>
            </w:tcBorders>
            <w:shd w:val="clear" w:color="auto" w:fill="auto"/>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获</w:t>
            </w:r>
            <w:proofErr w:type="gramStart"/>
            <w:r>
              <w:rPr>
                <w:rFonts w:ascii="Times New Roman" w:hAnsi="Times New Roman" w:cs="方正仿宋_GBK" w:hint="eastAsia"/>
                <w:color w:val="000000"/>
                <w:kern w:val="0"/>
                <w:sz w:val="21"/>
                <w:szCs w:val="21"/>
                <w:lang w:bidi="ar"/>
              </w:rPr>
              <w:t>省发改</w:t>
            </w:r>
            <w:proofErr w:type="gramEnd"/>
            <w:r>
              <w:rPr>
                <w:rFonts w:ascii="Times New Roman" w:hAnsi="Times New Roman" w:cs="方正仿宋_GBK" w:hint="eastAsia"/>
                <w:color w:val="000000"/>
                <w:kern w:val="0"/>
                <w:sz w:val="21"/>
                <w:szCs w:val="21"/>
                <w:lang w:bidi="ar"/>
              </w:rPr>
              <w:t>委刊登篇数</w:t>
            </w:r>
          </w:p>
        </w:tc>
        <w:tc>
          <w:tcPr>
            <w:tcW w:w="1260" w:type="pct"/>
            <w:tcBorders>
              <w:tl2br w:val="nil"/>
              <w:tr2bl w:val="nil"/>
            </w:tcBorders>
            <w:shd w:val="clear" w:color="auto" w:fill="auto"/>
            <w:vAlign w:val="center"/>
          </w:tcPr>
          <w:p w:rsidR="001A79DF" w:rsidRDefault="00E70674">
            <w:pPr>
              <w:widowControl/>
              <w:spacing w:line="560" w:lineRule="exact"/>
              <w:ind w:firstLineChars="0" w:firstLine="0"/>
              <w:jc w:val="center"/>
              <w:rPr>
                <w:rFonts w:ascii="Times New Roman" w:hAnsi="Times New Roman" w:cs="方正仿宋_GBK"/>
                <w:color w:val="000000"/>
                <w:kern w:val="0"/>
                <w:sz w:val="21"/>
                <w:szCs w:val="21"/>
              </w:rPr>
            </w:pPr>
            <w:r>
              <w:rPr>
                <w:rFonts w:ascii="Times New Roman" w:eastAsia="方正楷体_GBK" w:hAnsi="Times New Roman" w:cs="方正楷体_GBK" w:hint="eastAsia"/>
                <w:color w:val="000000"/>
                <w:kern w:val="0"/>
                <w:sz w:val="22"/>
              </w:rPr>
              <w:t>≥</w:t>
            </w:r>
            <w:r>
              <w:rPr>
                <w:rFonts w:ascii="Times New Roman" w:eastAsia="方正楷体_GBK" w:hAnsi="Times New Roman" w:cs="方正楷体_GBK" w:hint="eastAsia"/>
                <w:color w:val="000000"/>
                <w:kern w:val="0"/>
                <w:sz w:val="22"/>
              </w:rPr>
              <w:t>2</w:t>
            </w:r>
            <w:r>
              <w:rPr>
                <w:rFonts w:ascii="Times New Roman" w:eastAsia="方正楷体_GBK" w:hAnsi="Times New Roman" w:cs="方正楷体_GBK" w:hint="eastAsia"/>
                <w:color w:val="000000"/>
                <w:kern w:val="0"/>
                <w:sz w:val="22"/>
              </w:rPr>
              <w:t>篇</w:t>
            </w:r>
          </w:p>
        </w:tc>
      </w:tr>
      <w:tr w:rsidR="001A79DF">
        <w:trPr>
          <w:trHeight w:val="23"/>
        </w:trPr>
        <w:tc>
          <w:tcPr>
            <w:tcW w:w="645"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1091"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2001" w:type="pct"/>
            <w:tcBorders>
              <w:tl2br w:val="nil"/>
              <w:tr2bl w:val="nil"/>
            </w:tcBorders>
            <w:shd w:val="clear" w:color="auto" w:fill="auto"/>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形成民生实事候选项目数</w:t>
            </w:r>
          </w:p>
        </w:tc>
        <w:tc>
          <w:tcPr>
            <w:tcW w:w="1260" w:type="pct"/>
            <w:tcBorders>
              <w:tl2br w:val="nil"/>
              <w:tr2bl w:val="nil"/>
            </w:tcBorders>
            <w:shd w:val="clear" w:color="auto" w:fill="auto"/>
            <w:vAlign w:val="center"/>
          </w:tcPr>
          <w:p w:rsidR="001A79DF" w:rsidRDefault="00E70674">
            <w:pPr>
              <w:widowControl/>
              <w:spacing w:line="560" w:lineRule="exact"/>
              <w:ind w:firstLineChars="0" w:firstLine="0"/>
              <w:jc w:val="center"/>
              <w:rPr>
                <w:rFonts w:ascii="Times New Roman" w:hAnsi="Times New Roman" w:cs="方正仿宋_GBK"/>
                <w:color w:val="000000"/>
                <w:kern w:val="0"/>
                <w:sz w:val="21"/>
                <w:szCs w:val="21"/>
              </w:rPr>
            </w:pPr>
            <w:r>
              <w:rPr>
                <w:rFonts w:ascii="Times New Roman" w:eastAsia="方正楷体_GBK" w:hAnsi="Times New Roman" w:cs="方正楷体_GBK" w:hint="eastAsia"/>
                <w:color w:val="000000"/>
                <w:kern w:val="0"/>
                <w:sz w:val="22"/>
              </w:rPr>
              <w:t>≥</w:t>
            </w:r>
            <w:r>
              <w:rPr>
                <w:rFonts w:ascii="Times New Roman" w:eastAsia="方正楷体_GBK" w:hAnsi="Times New Roman" w:cs="方正楷体_GBK" w:hint="eastAsia"/>
                <w:color w:val="000000"/>
                <w:kern w:val="0"/>
                <w:sz w:val="22"/>
              </w:rPr>
              <w:t>40</w:t>
            </w:r>
            <w:r>
              <w:rPr>
                <w:rFonts w:ascii="Times New Roman" w:eastAsia="方正楷体_GBK" w:hAnsi="Times New Roman" w:cs="方正楷体_GBK" w:hint="eastAsia"/>
                <w:color w:val="000000"/>
                <w:kern w:val="0"/>
                <w:sz w:val="22"/>
              </w:rPr>
              <w:t>个</w:t>
            </w:r>
          </w:p>
        </w:tc>
      </w:tr>
      <w:tr w:rsidR="001A79DF">
        <w:trPr>
          <w:trHeight w:val="23"/>
        </w:trPr>
        <w:tc>
          <w:tcPr>
            <w:tcW w:w="645"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1091" w:type="pct"/>
            <w:vMerge w:val="restart"/>
            <w:tcBorders>
              <w:tl2br w:val="nil"/>
              <w:tr2bl w:val="nil"/>
            </w:tcBorders>
            <w:shd w:val="clear" w:color="000000" w:fill="FFFFFF"/>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区域协调发展</w:t>
            </w:r>
          </w:p>
        </w:tc>
        <w:tc>
          <w:tcPr>
            <w:tcW w:w="2001" w:type="pct"/>
            <w:tcBorders>
              <w:tl2br w:val="nil"/>
              <w:tr2bl w:val="nil"/>
            </w:tcBorders>
            <w:shd w:val="clear" w:color="auto" w:fill="auto"/>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对口支援检查及开展活动次数</w:t>
            </w:r>
          </w:p>
        </w:tc>
        <w:tc>
          <w:tcPr>
            <w:tcW w:w="1260" w:type="pct"/>
            <w:tcBorders>
              <w:tl2br w:val="nil"/>
              <w:tr2bl w:val="nil"/>
            </w:tcBorders>
            <w:shd w:val="clear" w:color="auto" w:fill="auto"/>
            <w:vAlign w:val="center"/>
          </w:tcPr>
          <w:p w:rsidR="001A79DF" w:rsidRDefault="00E70674">
            <w:pPr>
              <w:widowControl/>
              <w:spacing w:line="560" w:lineRule="exact"/>
              <w:ind w:firstLineChars="0" w:firstLine="0"/>
              <w:jc w:val="center"/>
              <w:rPr>
                <w:rFonts w:ascii="Times New Roman" w:hAnsi="Times New Roman" w:cs="方正仿宋_GBK"/>
                <w:color w:val="000000"/>
                <w:kern w:val="0"/>
                <w:sz w:val="21"/>
                <w:szCs w:val="21"/>
              </w:rPr>
            </w:pPr>
            <w:r>
              <w:rPr>
                <w:rFonts w:ascii="Times New Roman" w:eastAsia="方正楷体_GBK" w:hAnsi="Times New Roman" w:cs="方正楷体_GBK" w:hint="eastAsia"/>
                <w:color w:val="000000"/>
                <w:kern w:val="0"/>
                <w:sz w:val="22"/>
              </w:rPr>
              <w:t>≥</w:t>
            </w:r>
            <w:r>
              <w:rPr>
                <w:rFonts w:ascii="Times New Roman" w:eastAsia="方正楷体_GBK" w:hAnsi="Times New Roman" w:cs="方正楷体_GBK" w:hint="eastAsia"/>
                <w:color w:val="000000"/>
                <w:kern w:val="0"/>
                <w:sz w:val="22"/>
              </w:rPr>
              <w:t>9</w:t>
            </w:r>
            <w:r>
              <w:rPr>
                <w:rFonts w:ascii="Times New Roman" w:eastAsia="方正楷体_GBK" w:hAnsi="Times New Roman" w:cs="方正楷体_GBK" w:hint="eastAsia"/>
                <w:color w:val="000000"/>
                <w:kern w:val="0"/>
                <w:sz w:val="22"/>
              </w:rPr>
              <w:t>次</w:t>
            </w:r>
          </w:p>
        </w:tc>
      </w:tr>
      <w:tr w:rsidR="001A79DF">
        <w:trPr>
          <w:trHeight w:val="23"/>
        </w:trPr>
        <w:tc>
          <w:tcPr>
            <w:tcW w:w="645"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1091"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2001" w:type="pct"/>
            <w:tcBorders>
              <w:tl2br w:val="nil"/>
              <w:tr2bl w:val="nil"/>
            </w:tcBorders>
            <w:shd w:val="clear" w:color="auto" w:fill="auto"/>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长江经济</w:t>
            </w:r>
            <w:proofErr w:type="gramStart"/>
            <w:r>
              <w:rPr>
                <w:rFonts w:ascii="Times New Roman" w:hAnsi="Times New Roman" w:cs="方正仿宋_GBK" w:hint="eastAsia"/>
                <w:color w:val="000000"/>
                <w:kern w:val="0"/>
                <w:sz w:val="21"/>
                <w:szCs w:val="21"/>
                <w:lang w:bidi="ar"/>
              </w:rPr>
              <w:t>带宣传</w:t>
            </w:r>
            <w:proofErr w:type="gramEnd"/>
            <w:r>
              <w:rPr>
                <w:rFonts w:ascii="Times New Roman" w:hAnsi="Times New Roman" w:cs="方正仿宋_GBK" w:hint="eastAsia"/>
                <w:color w:val="000000"/>
                <w:kern w:val="0"/>
                <w:sz w:val="21"/>
                <w:szCs w:val="21"/>
                <w:lang w:bidi="ar"/>
              </w:rPr>
              <w:t>活动、</w:t>
            </w:r>
            <w:proofErr w:type="gramStart"/>
            <w:r>
              <w:rPr>
                <w:rFonts w:ascii="Times New Roman" w:hAnsi="Times New Roman" w:cs="方正仿宋_GBK" w:hint="eastAsia"/>
                <w:color w:val="000000"/>
                <w:kern w:val="0"/>
                <w:sz w:val="21"/>
                <w:szCs w:val="21"/>
                <w:lang w:bidi="ar"/>
              </w:rPr>
              <w:t>推文及</w:t>
            </w:r>
            <w:proofErr w:type="gramEnd"/>
            <w:r>
              <w:rPr>
                <w:rFonts w:ascii="Times New Roman" w:hAnsi="Times New Roman" w:cs="方正仿宋_GBK" w:hint="eastAsia"/>
                <w:color w:val="000000"/>
                <w:kern w:val="0"/>
                <w:sz w:val="21"/>
                <w:szCs w:val="21"/>
                <w:lang w:bidi="ar"/>
              </w:rPr>
              <w:t>报道</w:t>
            </w:r>
          </w:p>
        </w:tc>
        <w:tc>
          <w:tcPr>
            <w:tcW w:w="1260" w:type="pct"/>
            <w:tcBorders>
              <w:tl2br w:val="nil"/>
              <w:tr2bl w:val="nil"/>
            </w:tcBorders>
            <w:shd w:val="clear" w:color="auto" w:fill="auto"/>
            <w:vAlign w:val="center"/>
          </w:tcPr>
          <w:p w:rsidR="001A79DF" w:rsidRDefault="00E70674">
            <w:pPr>
              <w:widowControl/>
              <w:spacing w:line="560" w:lineRule="exact"/>
              <w:ind w:firstLineChars="0" w:firstLine="0"/>
              <w:jc w:val="center"/>
              <w:rPr>
                <w:rFonts w:ascii="Times New Roman" w:hAnsi="Times New Roman" w:cs="方正仿宋_GBK"/>
                <w:color w:val="000000"/>
                <w:kern w:val="0"/>
                <w:sz w:val="21"/>
                <w:szCs w:val="21"/>
              </w:rPr>
            </w:pPr>
            <w:r>
              <w:rPr>
                <w:rFonts w:ascii="Times New Roman" w:eastAsia="方正楷体_GBK" w:hAnsi="Times New Roman" w:cs="方正楷体_GBK" w:hint="eastAsia"/>
                <w:color w:val="000000"/>
                <w:kern w:val="0"/>
                <w:sz w:val="22"/>
              </w:rPr>
              <w:t>≥</w:t>
            </w:r>
            <w:r>
              <w:rPr>
                <w:rFonts w:ascii="Times New Roman" w:eastAsia="方正楷体_GBK" w:hAnsi="Times New Roman" w:cs="方正楷体_GBK" w:hint="eastAsia"/>
                <w:color w:val="000000"/>
                <w:kern w:val="0"/>
                <w:sz w:val="22"/>
              </w:rPr>
              <w:t>8</w:t>
            </w:r>
            <w:r>
              <w:rPr>
                <w:rFonts w:ascii="Times New Roman" w:eastAsia="方正楷体_GBK" w:hAnsi="Times New Roman" w:cs="方正楷体_GBK" w:hint="eastAsia"/>
                <w:color w:val="000000"/>
                <w:kern w:val="0"/>
                <w:sz w:val="22"/>
              </w:rPr>
              <w:t>篇</w:t>
            </w:r>
          </w:p>
        </w:tc>
      </w:tr>
      <w:tr w:rsidR="001A79DF">
        <w:trPr>
          <w:trHeight w:val="23"/>
        </w:trPr>
        <w:tc>
          <w:tcPr>
            <w:tcW w:w="645"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1091" w:type="pct"/>
            <w:vMerge w:val="restart"/>
            <w:tcBorders>
              <w:tl2br w:val="nil"/>
              <w:tr2bl w:val="nil"/>
            </w:tcBorders>
            <w:shd w:val="clear" w:color="000000" w:fill="FFFFFF"/>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社会信用体系建设</w:t>
            </w:r>
          </w:p>
        </w:tc>
        <w:tc>
          <w:tcPr>
            <w:tcW w:w="2001" w:type="pct"/>
            <w:tcBorders>
              <w:tl2br w:val="nil"/>
              <w:tr2bl w:val="nil"/>
            </w:tcBorders>
            <w:shd w:val="clear" w:color="000000" w:fill="FFFFFF"/>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企业信用评级报告抽查检验工作通过专家评审次数</w:t>
            </w:r>
          </w:p>
        </w:tc>
        <w:tc>
          <w:tcPr>
            <w:tcW w:w="1260" w:type="pct"/>
            <w:tcBorders>
              <w:tl2br w:val="nil"/>
              <w:tr2bl w:val="nil"/>
            </w:tcBorders>
            <w:shd w:val="clear" w:color="000000" w:fill="FFFFFF"/>
            <w:vAlign w:val="center"/>
          </w:tcPr>
          <w:p w:rsidR="001A79DF" w:rsidRDefault="00E70674">
            <w:pPr>
              <w:widowControl/>
              <w:spacing w:line="560" w:lineRule="exact"/>
              <w:ind w:firstLineChars="0" w:firstLine="0"/>
              <w:jc w:val="center"/>
              <w:rPr>
                <w:rFonts w:ascii="Times New Roman" w:hAnsi="Times New Roman" w:cs="方正仿宋_GBK"/>
                <w:color w:val="000000"/>
                <w:kern w:val="0"/>
                <w:sz w:val="21"/>
                <w:szCs w:val="21"/>
              </w:rPr>
            </w:pPr>
            <w:r>
              <w:rPr>
                <w:rFonts w:ascii="Times New Roman" w:eastAsia="方正楷体_GBK" w:hAnsi="Times New Roman" w:cs="方正楷体_GBK" w:hint="eastAsia"/>
                <w:color w:val="000000"/>
                <w:kern w:val="0"/>
                <w:sz w:val="22"/>
              </w:rPr>
              <w:t>≥</w:t>
            </w:r>
            <w:r>
              <w:rPr>
                <w:rFonts w:ascii="Times New Roman" w:eastAsia="方正楷体_GBK" w:hAnsi="Times New Roman" w:cs="方正楷体_GBK" w:hint="eastAsia"/>
                <w:color w:val="000000"/>
                <w:kern w:val="0"/>
                <w:sz w:val="22"/>
              </w:rPr>
              <w:t>2</w:t>
            </w:r>
          </w:p>
        </w:tc>
      </w:tr>
      <w:tr w:rsidR="001A79DF">
        <w:trPr>
          <w:trHeight w:val="23"/>
        </w:trPr>
        <w:tc>
          <w:tcPr>
            <w:tcW w:w="645"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1091"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2001" w:type="pct"/>
            <w:tcBorders>
              <w:tl2br w:val="nil"/>
              <w:tr2bl w:val="nil"/>
            </w:tcBorders>
            <w:shd w:val="clear" w:color="auto" w:fill="auto"/>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信用监测国家排名</w:t>
            </w:r>
          </w:p>
        </w:tc>
        <w:tc>
          <w:tcPr>
            <w:tcW w:w="1260" w:type="pct"/>
            <w:tcBorders>
              <w:tl2br w:val="nil"/>
              <w:tr2bl w:val="nil"/>
            </w:tcBorders>
            <w:shd w:val="clear" w:color="auto" w:fill="auto"/>
            <w:vAlign w:val="center"/>
          </w:tcPr>
          <w:p w:rsidR="001A79DF" w:rsidRDefault="00E70674">
            <w:pPr>
              <w:widowControl/>
              <w:spacing w:line="560" w:lineRule="exact"/>
              <w:ind w:firstLineChars="0" w:firstLine="0"/>
              <w:jc w:val="center"/>
              <w:rPr>
                <w:rFonts w:ascii="Times New Roman" w:hAnsi="Times New Roman" w:cs="方正仿宋_GBK"/>
                <w:color w:val="000000"/>
                <w:kern w:val="0"/>
                <w:sz w:val="21"/>
                <w:szCs w:val="21"/>
              </w:rPr>
            </w:pPr>
            <w:r>
              <w:rPr>
                <w:rFonts w:ascii="Times New Roman" w:eastAsia="方正楷体_GBK" w:hAnsi="Times New Roman" w:cs="方正楷体_GBK" w:hint="eastAsia"/>
                <w:color w:val="000000"/>
                <w:kern w:val="0"/>
                <w:sz w:val="22"/>
              </w:rPr>
              <w:t>排名保持在中上游</w:t>
            </w:r>
          </w:p>
        </w:tc>
      </w:tr>
      <w:tr w:rsidR="001A79DF">
        <w:trPr>
          <w:trHeight w:val="23"/>
        </w:trPr>
        <w:tc>
          <w:tcPr>
            <w:tcW w:w="645"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1091"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2001" w:type="pct"/>
            <w:tcBorders>
              <w:tl2br w:val="nil"/>
              <w:tr2bl w:val="nil"/>
            </w:tcBorders>
            <w:shd w:val="clear" w:color="000000" w:fill="FFFFFF"/>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信用主题活动综合报道以及深度报道等稿件数</w:t>
            </w:r>
          </w:p>
        </w:tc>
        <w:tc>
          <w:tcPr>
            <w:tcW w:w="1260" w:type="pct"/>
            <w:tcBorders>
              <w:tl2br w:val="nil"/>
              <w:tr2bl w:val="nil"/>
            </w:tcBorders>
            <w:shd w:val="clear" w:color="000000" w:fill="FFFFFF"/>
            <w:vAlign w:val="center"/>
          </w:tcPr>
          <w:p w:rsidR="001A79DF" w:rsidRDefault="00E70674">
            <w:pPr>
              <w:widowControl/>
              <w:spacing w:line="560" w:lineRule="exact"/>
              <w:ind w:firstLineChars="0" w:firstLine="0"/>
              <w:jc w:val="center"/>
              <w:rPr>
                <w:rFonts w:ascii="Times New Roman" w:hAnsi="Times New Roman" w:cs="方正仿宋_GBK"/>
                <w:color w:val="000000"/>
                <w:kern w:val="0"/>
                <w:sz w:val="21"/>
                <w:szCs w:val="21"/>
              </w:rPr>
            </w:pPr>
            <w:r>
              <w:rPr>
                <w:rFonts w:ascii="Times New Roman" w:eastAsia="方正楷体_GBK" w:hAnsi="Times New Roman" w:cs="方正楷体_GBK" w:hint="eastAsia"/>
                <w:color w:val="000000"/>
                <w:kern w:val="0"/>
                <w:sz w:val="22"/>
              </w:rPr>
              <w:t>≥</w:t>
            </w:r>
            <w:r>
              <w:rPr>
                <w:rFonts w:ascii="Times New Roman" w:eastAsia="方正楷体_GBK" w:hAnsi="Times New Roman" w:cs="方正楷体_GBK" w:hint="eastAsia"/>
                <w:color w:val="000000"/>
                <w:kern w:val="0"/>
                <w:sz w:val="22"/>
              </w:rPr>
              <w:t>6</w:t>
            </w:r>
          </w:p>
        </w:tc>
      </w:tr>
      <w:tr w:rsidR="001A79DF">
        <w:trPr>
          <w:trHeight w:val="23"/>
        </w:trPr>
        <w:tc>
          <w:tcPr>
            <w:tcW w:w="645"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1091" w:type="pct"/>
            <w:vMerge w:val="restart"/>
            <w:tcBorders>
              <w:tl2br w:val="nil"/>
              <w:tr2bl w:val="nil"/>
            </w:tcBorders>
            <w:shd w:val="clear" w:color="000000" w:fill="FFFFFF"/>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粮食和物资管理</w:t>
            </w:r>
          </w:p>
        </w:tc>
        <w:tc>
          <w:tcPr>
            <w:tcW w:w="2001" w:type="pct"/>
            <w:tcBorders>
              <w:tl2br w:val="nil"/>
              <w:tr2bl w:val="nil"/>
            </w:tcBorders>
            <w:shd w:val="clear" w:color="000000" w:fill="FFFFFF"/>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开展粮食监督检查次数</w:t>
            </w:r>
          </w:p>
        </w:tc>
        <w:tc>
          <w:tcPr>
            <w:tcW w:w="1260" w:type="pct"/>
            <w:tcBorders>
              <w:tl2br w:val="nil"/>
              <w:tr2bl w:val="nil"/>
            </w:tcBorders>
            <w:shd w:val="clear" w:color="000000" w:fill="FFFFFF"/>
            <w:vAlign w:val="center"/>
          </w:tcPr>
          <w:p w:rsidR="001A79DF" w:rsidRDefault="00E70674">
            <w:pPr>
              <w:widowControl/>
              <w:spacing w:line="560" w:lineRule="exact"/>
              <w:ind w:firstLineChars="0" w:firstLine="0"/>
              <w:jc w:val="center"/>
              <w:rPr>
                <w:rFonts w:ascii="Times New Roman" w:hAnsi="Times New Roman" w:cs="方正仿宋_GBK"/>
                <w:color w:val="000000"/>
                <w:kern w:val="0"/>
                <w:sz w:val="21"/>
                <w:szCs w:val="21"/>
              </w:rPr>
            </w:pPr>
            <w:r>
              <w:rPr>
                <w:rFonts w:ascii="Times New Roman" w:eastAsia="方正楷体_GBK" w:hAnsi="Times New Roman" w:cs="方正楷体_GBK" w:hint="eastAsia"/>
                <w:color w:val="000000"/>
                <w:kern w:val="0"/>
                <w:sz w:val="22"/>
              </w:rPr>
              <w:t>≥</w:t>
            </w:r>
            <w:r>
              <w:rPr>
                <w:rFonts w:ascii="Times New Roman" w:eastAsia="方正楷体_GBK" w:hAnsi="Times New Roman" w:cs="方正楷体_GBK" w:hint="eastAsia"/>
                <w:color w:val="000000"/>
                <w:kern w:val="0"/>
                <w:sz w:val="22"/>
              </w:rPr>
              <w:t>8</w:t>
            </w:r>
            <w:r>
              <w:rPr>
                <w:rFonts w:ascii="Times New Roman" w:eastAsia="方正楷体_GBK" w:hAnsi="Times New Roman" w:cs="方正楷体_GBK" w:hint="eastAsia"/>
                <w:color w:val="000000"/>
                <w:kern w:val="0"/>
                <w:sz w:val="22"/>
              </w:rPr>
              <w:t>次</w:t>
            </w:r>
          </w:p>
        </w:tc>
      </w:tr>
      <w:tr w:rsidR="001A79DF">
        <w:trPr>
          <w:trHeight w:val="23"/>
        </w:trPr>
        <w:tc>
          <w:tcPr>
            <w:tcW w:w="645"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1091"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2001" w:type="pct"/>
            <w:tcBorders>
              <w:tl2br w:val="nil"/>
              <w:tr2bl w:val="nil"/>
            </w:tcBorders>
            <w:shd w:val="clear" w:color="auto" w:fill="auto"/>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储备粮抽检样品数</w:t>
            </w:r>
          </w:p>
        </w:tc>
        <w:tc>
          <w:tcPr>
            <w:tcW w:w="1260" w:type="pct"/>
            <w:tcBorders>
              <w:tl2br w:val="nil"/>
              <w:tr2bl w:val="nil"/>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仿宋_GBK"/>
                <w:color w:val="000000"/>
                <w:kern w:val="0"/>
                <w:sz w:val="21"/>
                <w:szCs w:val="21"/>
              </w:rPr>
            </w:pPr>
            <w:r>
              <w:rPr>
                <w:rFonts w:ascii="Times New Roman" w:eastAsia="方正楷体_GBK" w:hAnsi="Times New Roman" w:cs="方正楷体_GBK" w:hint="eastAsia"/>
                <w:color w:val="000000"/>
                <w:kern w:val="0"/>
                <w:sz w:val="22"/>
              </w:rPr>
              <w:t>≥</w:t>
            </w:r>
            <w:r>
              <w:rPr>
                <w:rFonts w:ascii="Times New Roman" w:eastAsia="方正楷体_GBK" w:hAnsi="Times New Roman" w:cs="方正楷体_GBK" w:hint="eastAsia"/>
                <w:color w:val="000000"/>
                <w:kern w:val="0"/>
                <w:sz w:val="22"/>
              </w:rPr>
              <w:t>70</w:t>
            </w:r>
            <w:r>
              <w:rPr>
                <w:rFonts w:ascii="Times New Roman" w:eastAsia="方正楷体_GBK" w:hAnsi="Times New Roman" w:cs="方正楷体_GBK" w:hint="eastAsia"/>
                <w:color w:val="000000"/>
                <w:kern w:val="0"/>
                <w:sz w:val="22"/>
              </w:rPr>
              <w:t>份</w:t>
            </w:r>
          </w:p>
        </w:tc>
      </w:tr>
      <w:tr w:rsidR="001A79DF">
        <w:trPr>
          <w:trHeight w:val="23"/>
        </w:trPr>
        <w:tc>
          <w:tcPr>
            <w:tcW w:w="645"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1091"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2001" w:type="pct"/>
            <w:tcBorders>
              <w:tl2br w:val="nil"/>
              <w:tr2bl w:val="nil"/>
            </w:tcBorders>
            <w:shd w:val="clear" w:color="000000" w:fill="FFFFFF"/>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粮食宣传活动次数</w:t>
            </w:r>
          </w:p>
        </w:tc>
        <w:tc>
          <w:tcPr>
            <w:tcW w:w="1260" w:type="pct"/>
            <w:tcBorders>
              <w:tl2br w:val="nil"/>
              <w:tr2bl w:val="nil"/>
            </w:tcBorders>
            <w:shd w:val="clear" w:color="000000" w:fill="FFFFFF"/>
            <w:vAlign w:val="center"/>
          </w:tcPr>
          <w:p w:rsidR="001A79DF" w:rsidRDefault="00E70674">
            <w:pPr>
              <w:widowControl/>
              <w:spacing w:line="560" w:lineRule="exact"/>
              <w:ind w:firstLineChars="0" w:firstLine="0"/>
              <w:jc w:val="center"/>
              <w:rPr>
                <w:rFonts w:ascii="Times New Roman" w:hAnsi="Times New Roman" w:cs="方正仿宋_GBK"/>
                <w:color w:val="000000"/>
                <w:kern w:val="0"/>
                <w:sz w:val="21"/>
                <w:szCs w:val="21"/>
              </w:rPr>
            </w:pPr>
            <w:r>
              <w:rPr>
                <w:rFonts w:ascii="Times New Roman" w:eastAsia="方正楷体_GBK" w:hAnsi="Times New Roman" w:cs="方正楷体_GBK" w:hint="eastAsia"/>
                <w:color w:val="000000"/>
                <w:kern w:val="0"/>
                <w:sz w:val="22"/>
              </w:rPr>
              <w:t>≥</w:t>
            </w:r>
            <w:r>
              <w:rPr>
                <w:rFonts w:ascii="Times New Roman" w:eastAsia="方正楷体_GBK" w:hAnsi="Times New Roman" w:cs="方正楷体_GBK" w:hint="eastAsia"/>
                <w:color w:val="000000"/>
                <w:kern w:val="0"/>
                <w:sz w:val="22"/>
              </w:rPr>
              <w:t>2</w:t>
            </w:r>
            <w:r>
              <w:rPr>
                <w:rFonts w:ascii="Times New Roman" w:eastAsia="方正楷体_GBK" w:hAnsi="Times New Roman" w:cs="方正楷体_GBK" w:hint="eastAsia"/>
                <w:color w:val="000000"/>
                <w:kern w:val="0"/>
                <w:sz w:val="22"/>
              </w:rPr>
              <w:t>次</w:t>
            </w:r>
          </w:p>
        </w:tc>
      </w:tr>
      <w:tr w:rsidR="001A79DF">
        <w:trPr>
          <w:trHeight w:val="23"/>
        </w:trPr>
        <w:tc>
          <w:tcPr>
            <w:tcW w:w="645"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1091" w:type="pct"/>
            <w:vMerge w:val="restart"/>
            <w:tcBorders>
              <w:tl2br w:val="nil"/>
              <w:tr2bl w:val="nil"/>
            </w:tcBorders>
            <w:shd w:val="clear" w:color="000000" w:fill="FFFFFF"/>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推进办日常工作</w:t>
            </w:r>
          </w:p>
        </w:tc>
        <w:tc>
          <w:tcPr>
            <w:tcW w:w="2001" w:type="pct"/>
            <w:tcBorders>
              <w:tl2br w:val="nil"/>
              <w:tr2bl w:val="nil"/>
            </w:tcBorders>
            <w:shd w:val="clear" w:color="auto" w:fill="auto"/>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检查重大项目数量</w:t>
            </w:r>
          </w:p>
        </w:tc>
        <w:tc>
          <w:tcPr>
            <w:tcW w:w="1260" w:type="pct"/>
            <w:tcBorders>
              <w:tl2br w:val="nil"/>
              <w:tr2bl w:val="nil"/>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仿宋_GBK"/>
                <w:color w:val="000000"/>
                <w:kern w:val="0"/>
                <w:sz w:val="21"/>
                <w:szCs w:val="21"/>
              </w:rPr>
            </w:pPr>
            <w:r>
              <w:rPr>
                <w:rFonts w:ascii="Times New Roman" w:eastAsia="方正楷体_GBK" w:hAnsi="Times New Roman" w:cs="方正楷体_GBK" w:hint="eastAsia"/>
                <w:color w:val="000000"/>
                <w:kern w:val="0"/>
                <w:sz w:val="22"/>
              </w:rPr>
              <w:t>≥</w:t>
            </w:r>
            <w:r>
              <w:rPr>
                <w:rFonts w:ascii="Times New Roman" w:eastAsia="方正楷体_GBK" w:hAnsi="Times New Roman" w:cs="方正楷体_GBK" w:hint="eastAsia"/>
                <w:color w:val="000000"/>
                <w:kern w:val="0"/>
                <w:sz w:val="22"/>
              </w:rPr>
              <w:t>60</w:t>
            </w:r>
          </w:p>
        </w:tc>
      </w:tr>
      <w:tr w:rsidR="001A79DF">
        <w:trPr>
          <w:trHeight w:val="23"/>
        </w:trPr>
        <w:tc>
          <w:tcPr>
            <w:tcW w:w="645"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1091"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2001" w:type="pct"/>
            <w:tcBorders>
              <w:tl2br w:val="nil"/>
              <w:tr2bl w:val="nil"/>
            </w:tcBorders>
            <w:shd w:val="clear" w:color="auto" w:fill="auto"/>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对各项推进工作进行服务、协调、保障</w:t>
            </w:r>
          </w:p>
        </w:tc>
        <w:tc>
          <w:tcPr>
            <w:tcW w:w="1260" w:type="pct"/>
            <w:tcBorders>
              <w:tl2br w:val="nil"/>
              <w:tr2bl w:val="nil"/>
            </w:tcBorders>
            <w:shd w:val="clear" w:color="auto" w:fill="auto"/>
            <w:vAlign w:val="center"/>
          </w:tcPr>
          <w:p w:rsidR="001A79DF" w:rsidRDefault="00E70674">
            <w:pPr>
              <w:widowControl/>
              <w:spacing w:line="560" w:lineRule="exact"/>
              <w:ind w:firstLineChars="0" w:firstLine="0"/>
              <w:jc w:val="center"/>
              <w:rPr>
                <w:rFonts w:ascii="Times New Roman" w:hAnsi="Times New Roman" w:cs="方正仿宋_GBK"/>
                <w:color w:val="000000"/>
                <w:kern w:val="0"/>
                <w:sz w:val="21"/>
                <w:szCs w:val="21"/>
              </w:rPr>
            </w:pPr>
            <w:r>
              <w:rPr>
                <w:rFonts w:ascii="Times New Roman" w:eastAsia="方正楷体_GBK" w:hAnsi="Times New Roman" w:cs="方正楷体_GBK" w:hint="eastAsia"/>
                <w:color w:val="000000"/>
                <w:kern w:val="0"/>
                <w:sz w:val="22"/>
              </w:rPr>
              <w:t>按时效推进</w:t>
            </w:r>
          </w:p>
        </w:tc>
      </w:tr>
      <w:tr w:rsidR="001A79DF">
        <w:trPr>
          <w:trHeight w:val="23"/>
        </w:trPr>
        <w:tc>
          <w:tcPr>
            <w:tcW w:w="645"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1091"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2001" w:type="pct"/>
            <w:tcBorders>
              <w:tl2br w:val="nil"/>
              <w:tr2bl w:val="nil"/>
            </w:tcBorders>
            <w:shd w:val="clear" w:color="auto" w:fill="auto"/>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推进都市圈宣传，发布宣传信息条数</w:t>
            </w:r>
          </w:p>
        </w:tc>
        <w:tc>
          <w:tcPr>
            <w:tcW w:w="1260" w:type="pct"/>
            <w:tcBorders>
              <w:tl2br w:val="nil"/>
              <w:tr2bl w:val="nil"/>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仿宋_GBK"/>
                <w:color w:val="000000"/>
                <w:kern w:val="0"/>
                <w:sz w:val="21"/>
                <w:szCs w:val="21"/>
              </w:rPr>
            </w:pPr>
            <w:r>
              <w:rPr>
                <w:rFonts w:ascii="Times New Roman" w:eastAsia="方正楷体_GBK" w:hAnsi="Times New Roman" w:cs="方正楷体_GBK" w:hint="eastAsia"/>
                <w:color w:val="000000"/>
                <w:kern w:val="0"/>
                <w:sz w:val="22"/>
              </w:rPr>
              <w:t>≥</w:t>
            </w:r>
            <w:r>
              <w:rPr>
                <w:rFonts w:ascii="Times New Roman" w:eastAsia="方正楷体_GBK" w:hAnsi="Times New Roman" w:cs="方正楷体_GBK" w:hint="eastAsia"/>
                <w:color w:val="000000"/>
                <w:kern w:val="0"/>
                <w:sz w:val="22"/>
              </w:rPr>
              <w:t>200</w:t>
            </w:r>
            <w:r>
              <w:rPr>
                <w:rFonts w:ascii="Times New Roman" w:eastAsia="方正楷体_GBK" w:hAnsi="Times New Roman" w:cs="方正楷体_GBK" w:hint="eastAsia"/>
                <w:color w:val="000000"/>
                <w:kern w:val="0"/>
                <w:sz w:val="22"/>
              </w:rPr>
              <w:t>篇</w:t>
            </w:r>
          </w:p>
        </w:tc>
      </w:tr>
      <w:tr w:rsidR="001A79DF">
        <w:trPr>
          <w:trHeight w:val="23"/>
        </w:trPr>
        <w:tc>
          <w:tcPr>
            <w:tcW w:w="645"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1091" w:type="pct"/>
            <w:vMerge w:val="restart"/>
            <w:tcBorders>
              <w:tl2br w:val="nil"/>
              <w:tr2bl w:val="nil"/>
            </w:tcBorders>
            <w:shd w:val="clear" w:color="auto" w:fill="auto"/>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“十五五”规划编制</w:t>
            </w:r>
          </w:p>
        </w:tc>
        <w:tc>
          <w:tcPr>
            <w:tcW w:w="2001" w:type="pct"/>
            <w:tcBorders>
              <w:tl2br w:val="nil"/>
              <w:tr2bl w:val="nil"/>
            </w:tcBorders>
            <w:shd w:val="clear" w:color="auto" w:fill="auto"/>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rPr>
              <w:t>专项规划报告完成中期评审数</w:t>
            </w:r>
          </w:p>
        </w:tc>
        <w:tc>
          <w:tcPr>
            <w:tcW w:w="1260" w:type="pct"/>
            <w:tcBorders>
              <w:tl2br w:val="nil"/>
              <w:tr2bl w:val="nil"/>
            </w:tcBorders>
            <w:shd w:val="clear" w:color="auto" w:fill="auto"/>
            <w:vAlign w:val="center"/>
          </w:tcPr>
          <w:p w:rsidR="001A79DF" w:rsidRDefault="00E70674">
            <w:pPr>
              <w:widowControl/>
              <w:spacing w:line="560" w:lineRule="exact"/>
              <w:ind w:firstLineChars="0" w:firstLine="0"/>
              <w:jc w:val="center"/>
              <w:rPr>
                <w:rFonts w:ascii="Times New Roman" w:hAnsi="Times New Roman" w:cs="方正仿宋_GBK"/>
                <w:color w:val="000000"/>
                <w:kern w:val="0"/>
                <w:sz w:val="21"/>
                <w:szCs w:val="21"/>
              </w:rPr>
            </w:pPr>
            <w:r>
              <w:rPr>
                <w:rFonts w:ascii="Times New Roman" w:eastAsia="方正楷体_GBK" w:hAnsi="Times New Roman" w:cs="方正楷体_GBK" w:hint="eastAsia"/>
                <w:color w:val="000000"/>
                <w:kern w:val="0"/>
                <w:sz w:val="22"/>
              </w:rPr>
              <w:t>≥</w:t>
            </w:r>
            <w:r>
              <w:rPr>
                <w:rFonts w:ascii="Times New Roman" w:eastAsia="方正楷体_GBK" w:hAnsi="Times New Roman" w:cs="方正楷体_GBK" w:hint="eastAsia"/>
                <w:color w:val="000000"/>
                <w:kern w:val="0"/>
                <w:sz w:val="22"/>
              </w:rPr>
              <w:t>8</w:t>
            </w:r>
            <w:r>
              <w:rPr>
                <w:rFonts w:ascii="Times New Roman" w:eastAsia="方正楷体_GBK" w:hAnsi="Times New Roman" w:cs="方正楷体_GBK" w:hint="eastAsia"/>
                <w:color w:val="000000"/>
                <w:kern w:val="0"/>
                <w:sz w:val="22"/>
              </w:rPr>
              <w:t>篇</w:t>
            </w:r>
          </w:p>
        </w:tc>
      </w:tr>
      <w:tr w:rsidR="001A79DF">
        <w:trPr>
          <w:trHeight w:val="23"/>
        </w:trPr>
        <w:tc>
          <w:tcPr>
            <w:tcW w:w="645"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1091"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2001" w:type="pct"/>
            <w:tcBorders>
              <w:tl2br w:val="nil"/>
              <w:tr2bl w:val="nil"/>
            </w:tcBorders>
            <w:shd w:val="clear" w:color="auto" w:fill="auto"/>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市级以上刊物刊发“十五五”规划相关文章</w:t>
            </w:r>
          </w:p>
        </w:tc>
        <w:tc>
          <w:tcPr>
            <w:tcW w:w="1260" w:type="pct"/>
            <w:tcBorders>
              <w:tl2br w:val="nil"/>
              <w:tr2bl w:val="nil"/>
            </w:tcBorders>
            <w:shd w:val="clear" w:color="auto" w:fill="auto"/>
            <w:vAlign w:val="center"/>
          </w:tcPr>
          <w:p w:rsidR="001A79DF" w:rsidRDefault="00E70674">
            <w:pPr>
              <w:widowControl/>
              <w:spacing w:line="560" w:lineRule="exact"/>
              <w:ind w:firstLineChars="0" w:firstLine="0"/>
              <w:jc w:val="center"/>
              <w:rPr>
                <w:rFonts w:ascii="Times New Roman" w:hAnsi="Times New Roman" w:cs="方正仿宋_GBK"/>
                <w:color w:val="000000"/>
                <w:kern w:val="0"/>
                <w:sz w:val="21"/>
                <w:szCs w:val="21"/>
              </w:rPr>
            </w:pPr>
            <w:r>
              <w:rPr>
                <w:rFonts w:ascii="Times New Roman" w:eastAsia="方正楷体_GBK" w:hAnsi="Times New Roman" w:cs="方正楷体_GBK" w:hint="eastAsia"/>
                <w:color w:val="000000"/>
                <w:kern w:val="0"/>
                <w:sz w:val="22"/>
              </w:rPr>
              <w:t>≥</w:t>
            </w:r>
            <w:r>
              <w:rPr>
                <w:rFonts w:ascii="Times New Roman" w:eastAsia="方正楷体_GBK" w:hAnsi="Times New Roman" w:cs="方正楷体_GBK" w:hint="eastAsia"/>
                <w:color w:val="000000"/>
                <w:kern w:val="0"/>
                <w:sz w:val="22"/>
              </w:rPr>
              <w:t>4</w:t>
            </w:r>
            <w:r>
              <w:rPr>
                <w:rFonts w:ascii="Times New Roman" w:eastAsia="方正楷体_GBK" w:hAnsi="Times New Roman" w:cs="方正楷体_GBK" w:hint="eastAsia"/>
                <w:color w:val="000000"/>
                <w:kern w:val="0"/>
                <w:sz w:val="22"/>
              </w:rPr>
              <w:t>篇</w:t>
            </w:r>
          </w:p>
        </w:tc>
      </w:tr>
      <w:tr w:rsidR="001A79DF">
        <w:trPr>
          <w:trHeight w:val="23"/>
        </w:trPr>
        <w:tc>
          <w:tcPr>
            <w:tcW w:w="645" w:type="pct"/>
            <w:vMerge w:val="restart"/>
            <w:tcBorders>
              <w:tl2br w:val="nil"/>
              <w:tr2bl w:val="nil"/>
            </w:tcBorders>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效益</w:t>
            </w:r>
          </w:p>
        </w:tc>
        <w:tc>
          <w:tcPr>
            <w:tcW w:w="1091" w:type="pct"/>
            <w:tcBorders>
              <w:tl2br w:val="nil"/>
              <w:tr2bl w:val="nil"/>
            </w:tcBorders>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经济效益</w:t>
            </w:r>
          </w:p>
        </w:tc>
        <w:tc>
          <w:tcPr>
            <w:tcW w:w="2001" w:type="pct"/>
            <w:tcBorders>
              <w:tl2br w:val="nil"/>
              <w:tr2bl w:val="nil"/>
            </w:tcBorders>
            <w:shd w:val="clear" w:color="auto" w:fill="auto"/>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经济监测是否全面，监测数据的参考价值</w:t>
            </w:r>
          </w:p>
        </w:tc>
        <w:tc>
          <w:tcPr>
            <w:tcW w:w="1260" w:type="pct"/>
            <w:tcBorders>
              <w:tl2br w:val="nil"/>
              <w:tr2bl w:val="nil"/>
            </w:tcBorders>
            <w:shd w:val="clear" w:color="auto" w:fill="auto"/>
            <w:vAlign w:val="center"/>
          </w:tcPr>
          <w:p w:rsidR="001A79DF" w:rsidRDefault="00E70674">
            <w:pPr>
              <w:widowControl/>
              <w:spacing w:line="560" w:lineRule="exact"/>
              <w:ind w:firstLineChars="0" w:firstLine="0"/>
              <w:jc w:val="center"/>
              <w:rPr>
                <w:rFonts w:ascii="Times New Roman" w:hAnsi="Times New Roman" w:cs="方正仿宋_GBK"/>
                <w:color w:val="000000"/>
                <w:kern w:val="0"/>
                <w:sz w:val="21"/>
                <w:szCs w:val="21"/>
              </w:rPr>
            </w:pPr>
            <w:r>
              <w:rPr>
                <w:rFonts w:ascii="Times New Roman" w:eastAsia="方正楷体_GBK" w:hAnsi="Times New Roman" w:cs="方正楷体_GBK" w:hint="eastAsia"/>
                <w:kern w:val="0"/>
                <w:sz w:val="22"/>
              </w:rPr>
              <w:t>全面、具有参考价值</w:t>
            </w:r>
          </w:p>
        </w:tc>
      </w:tr>
      <w:tr w:rsidR="001A79DF">
        <w:trPr>
          <w:trHeight w:val="23"/>
        </w:trPr>
        <w:tc>
          <w:tcPr>
            <w:tcW w:w="645"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1091" w:type="pct"/>
            <w:vMerge w:val="restart"/>
            <w:tcBorders>
              <w:tl2br w:val="nil"/>
              <w:tr2bl w:val="nil"/>
            </w:tcBorders>
            <w:shd w:val="clear" w:color="auto" w:fill="auto"/>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社会效益</w:t>
            </w:r>
          </w:p>
        </w:tc>
        <w:tc>
          <w:tcPr>
            <w:tcW w:w="2001" w:type="pct"/>
            <w:tcBorders>
              <w:tl2br w:val="nil"/>
              <w:tr2bl w:val="nil"/>
            </w:tcBorders>
            <w:shd w:val="clear" w:color="auto" w:fill="auto"/>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粮食质量安全</w:t>
            </w:r>
          </w:p>
        </w:tc>
        <w:tc>
          <w:tcPr>
            <w:tcW w:w="1260" w:type="pct"/>
            <w:tcBorders>
              <w:tl2br w:val="nil"/>
              <w:tr2bl w:val="nil"/>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color w:val="000000"/>
                <w:kern w:val="0"/>
                <w:sz w:val="22"/>
              </w:rPr>
            </w:pPr>
            <w:r>
              <w:rPr>
                <w:rFonts w:ascii="Times New Roman" w:eastAsia="方正楷体_GBK" w:hAnsi="Times New Roman" w:cs="方正楷体_GBK" w:hint="eastAsia"/>
                <w:color w:val="000000"/>
                <w:kern w:val="0"/>
                <w:sz w:val="22"/>
              </w:rPr>
              <w:t>确保不合格粮食</w:t>
            </w:r>
          </w:p>
          <w:p w:rsidR="001A79DF" w:rsidRDefault="00E70674">
            <w:pPr>
              <w:widowControl/>
              <w:spacing w:line="560" w:lineRule="exact"/>
              <w:ind w:firstLineChars="0" w:firstLine="0"/>
              <w:jc w:val="center"/>
              <w:rPr>
                <w:rFonts w:ascii="Times New Roman" w:hAnsi="Times New Roman" w:cs="方正仿宋_GBK"/>
                <w:color w:val="000000"/>
                <w:kern w:val="0"/>
                <w:sz w:val="21"/>
                <w:szCs w:val="21"/>
              </w:rPr>
            </w:pPr>
            <w:r>
              <w:rPr>
                <w:rFonts w:ascii="Times New Roman" w:eastAsia="方正楷体_GBK" w:hAnsi="Times New Roman" w:cs="方正楷体_GBK" w:hint="eastAsia"/>
                <w:color w:val="000000"/>
                <w:kern w:val="0"/>
                <w:sz w:val="22"/>
              </w:rPr>
              <w:t>不流入口粮市场</w:t>
            </w:r>
          </w:p>
        </w:tc>
      </w:tr>
      <w:tr w:rsidR="001A79DF">
        <w:trPr>
          <w:trHeight w:val="23"/>
        </w:trPr>
        <w:tc>
          <w:tcPr>
            <w:tcW w:w="645"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1091" w:type="pct"/>
            <w:vMerge/>
            <w:tcBorders>
              <w:tl2br w:val="nil"/>
              <w:tr2bl w:val="nil"/>
            </w:tcBorders>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2001" w:type="pct"/>
            <w:tcBorders>
              <w:tl2br w:val="nil"/>
              <w:tr2bl w:val="nil"/>
            </w:tcBorders>
            <w:shd w:val="clear" w:color="auto" w:fill="auto"/>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制定规划、政策是否符合经济社会</w:t>
            </w:r>
            <w:r>
              <w:rPr>
                <w:rFonts w:ascii="Times New Roman" w:hAnsi="Times New Roman" w:cs="方正仿宋_GBK" w:hint="eastAsia"/>
                <w:color w:val="000000"/>
                <w:kern w:val="0"/>
                <w:sz w:val="21"/>
                <w:szCs w:val="21"/>
                <w:lang w:bidi="ar"/>
              </w:rPr>
              <w:lastRenderedPageBreak/>
              <w:t>发展要求，是否得到上级部门认可</w:t>
            </w:r>
          </w:p>
        </w:tc>
        <w:tc>
          <w:tcPr>
            <w:tcW w:w="1260" w:type="pct"/>
            <w:tcBorders>
              <w:tl2br w:val="nil"/>
              <w:tr2bl w:val="nil"/>
            </w:tcBorders>
            <w:shd w:val="clear" w:color="auto" w:fill="auto"/>
            <w:vAlign w:val="center"/>
          </w:tcPr>
          <w:p w:rsidR="001A79DF" w:rsidRDefault="00E70674">
            <w:pPr>
              <w:widowControl/>
              <w:spacing w:line="560" w:lineRule="exact"/>
              <w:ind w:firstLineChars="0" w:firstLine="0"/>
              <w:jc w:val="center"/>
              <w:rPr>
                <w:rFonts w:ascii="Times New Roman" w:hAnsi="Times New Roman" w:cs="方正仿宋_GBK"/>
                <w:color w:val="000000"/>
                <w:kern w:val="0"/>
                <w:sz w:val="21"/>
                <w:szCs w:val="21"/>
              </w:rPr>
            </w:pPr>
            <w:r>
              <w:rPr>
                <w:rFonts w:ascii="Times New Roman" w:eastAsia="方正楷体_GBK" w:hAnsi="Times New Roman" w:cs="方正楷体_GBK" w:hint="eastAsia"/>
                <w:color w:val="000000"/>
                <w:kern w:val="0"/>
                <w:sz w:val="22"/>
              </w:rPr>
              <w:lastRenderedPageBreak/>
              <w:t>认可</w:t>
            </w:r>
          </w:p>
        </w:tc>
      </w:tr>
      <w:tr w:rsidR="001A79DF">
        <w:trPr>
          <w:trHeight w:val="604"/>
        </w:trPr>
        <w:tc>
          <w:tcPr>
            <w:tcW w:w="645" w:type="pct"/>
            <w:vMerge/>
            <w:tcBorders>
              <w:tl2br w:val="nil"/>
              <w:tr2bl w:val="nil"/>
            </w:tcBorders>
            <w:shd w:val="clear" w:color="000000" w:fill="FFFFFF"/>
            <w:vAlign w:val="center"/>
          </w:tcPr>
          <w:p w:rsidR="001A79DF" w:rsidRDefault="001A79DF">
            <w:pPr>
              <w:widowControl/>
              <w:spacing w:line="560" w:lineRule="exact"/>
              <w:ind w:firstLineChars="0" w:firstLine="0"/>
              <w:jc w:val="center"/>
              <w:rPr>
                <w:rFonts w:ascii="Times New Roman" w:hAnsi="Times New Roman" w:cs="方正仿宋_GBK"/>
                <w:color w:val="000000"/>
                <w:kern w:val="0"/>
                <w:sz w:val="21"/>
                <w:szCs w:val="21"/>
              </w:rPr>
            </w:pPr>
          </w:p>
        </w:tc>
        <w:tc>
          <w:tcPr>
            <w:tcW w:w="1091" w:type="pct"/>
            <w:tcBorders>
              <w:tl2br w:val="nil"/>
              <w:tr2bl w:val="nil"/>
            </w:tcBorders>
            <w:shd w:val="clear" w:color="auto" w:fill="auto"/>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可持续发展</w:t>
            </w:r>
          </w:p>
        </w:tc>
        <w:tc>
          <w:tcPr>
            <w:tcW w:w="2001" w:type="pct"/>
            <w:tcBorders>
              <w:tl2br w:val="nil"/>
              <w:tr2bl w:val="nil"/>
            </w:tcBorders>
            <w:shd w:val="clear" w:color="auto" w:fill="auto"/>
            <w:vAlign w:val="center"/>
          </w:tcPr>
          <w:p w:rsidR="001A79DF" w:rsidRDefault="001A79DF">
            <w:pPr>
              <w:widowControl/>
              <w:spacing w:line="560" w:lineRule="exact"/>
              <w:ind w:firstLineChars="0" w:firstLine="0"/>
              <w:jc w:val="center"/>
              <w:textAlignment w:val="center"/>
              <w:rPr>
                <w:rFonts w:ascii="Times New Roman" w:hAnsi="Times New Roman" w:cs="方正仿宋_GBK"/>
                <w:color w:val="000000"/>
                <w:kern w:val="0"/>
                <w:sz w:val="21"/>
                <w:szCs w:val="21"/>
              </w:rPr>
            </w:pPr>
          </w:p>
        </w:tc>
        <w:tc>
          <w:tcPr>
            <w:tcW w:w="1260" w:type="pct"/>
            <w:tcBorders>
              <w:tl2br w:val="nil"/>
              <w:tr2bl w:val="nil"/>
            </w:tcBorders>
            <w:shd w:val="clear" w:color="auto" w:fill="auto"/>
            <w:vAlign w:val="center"/>
          </w:tcPr>
          <w:p w:rsidR="001A79DF" w:rsidRDefault="001A79DF">
            <w:pPr>
              <w:widowControl/>
              <w:spacing w:line="560" w:lineRule="exact"/>
              <w:ind w:firstLineChars="0" w:firstLine="0"/>
              <w:jc w:val="center"/>
              <w:rPr>
                <w:rFonts w:ascii="Times New Roman" w:hAnsi="Times New Roman" w:cs="方正仿宋_GBK"/>
                <w:kern w:val="0"/>
                <w:sz w:val="21"/>
                <w:szCs w:val="21"/>
              </w:rPr>
            </w:pPr>
          </w:p>
        </w:tc>
      </w:tr>
      <w:tr w:rsidR="001A79DF">
        <w:trPr>
          <w:trHeight w:val="916"/>
        </w:trPr>
        <w:tc>
          <w:tcPr>
            <w:tcW w:w="645" w:type="pct"/>
            <w:tcBorders>
              <w:tl2br w:val="nil"/>
              <w:tr2bl w:val="nil"/>
            </w:tcBorders>
            <w:vAlign w:val="center"/>
          </w:tcPr>
          <w:p w:rsidR="001A79DF" w:rsidRDefault="00E70674">
            <w:pPr>
              <w:widowControl/>
              <w:spacing w:line="560" w:lineRule="exact"/>
              <w:ind w:firstLineChars="0" w:firstLine="0"/>
              <w:jc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rPr>
              <w:t>满意度</w:t>
            </w:r>
          </w:p>
          <w:p w:rsidR="001A79DF" w:rsidRDefault="00E70674">
            <w:pPr>
              <w:widowControl/>
              <w:spacing w:line="560" w:lineRule="exact"/>
              <w:ind w:firstLineChars="0" w:firstLine="0"/>
              <w:jc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rPr>
              <w:t>指标</w:t>
            </w:r>
          </w:p>
        </w:tc>
        <w:tc>
          <w:tcPr>
            <w:tcW w:w="1091" w:type="pct"/>
            <w:tcBorders>
              <w:tl2br w:val="nil"/>
              <w:tr2bl w:val="nil"/>
            </w:tcBorders>
            <w:shd w:val="clear" w:color="000000" w:fill="FFFFFF"/>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r>
              <w:rPr>
                <w:rFonts w:ascii="Times New Roman" w:hAnsi="Times New Roman" w:cs="方正仿宋_GBK" w:hint="eastAsia"/>
                <w:color w:val="000000"/>
                <w:kern w:val="0"/>
                <w:sz w:val="21"/>
                <w:szCs w:val="21"/>
                <w:lang w:bidi="ar"/>
              </w:rPr>
              <w:t>服务对象满意度</w:t>
            </w:r>
          </w:p>
        </w:tc>
        <w:tc>
          <w:tcPr>
            <w:tcW w:w="2001" w:type="pct"/>
            <w:tcBorders>
              <w:tl2br w:val="nil"/>
              <w:tr2bl w:val="nil"/>
            </w:tcBorders>
            <w:shd w:val="clear" w:color="auto" w:fill="auto"/>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kern w:val="0"/>
                <w:sz w:val="21"/>
                <w:szCs w:val="21"/>
              </w:rPr>
            </w:pPr>
            <w:proofErr w:type="gramStart"/>
            <w:r>
              <w:rPr>
                <w:rFonts w:ascii="Times New Roman" w:hAnsi="Times New Roman" w:cs="方正仿宋_GBK" w:hint="eastAsia"/>
                <w:color w:val="000000"/>
                <w:kern w:val="0"/>
                <w:sz w:val="21"/>
                <w:szCs w:val="21"/>
                <w:lang w:bidi="ar"/>
              </w:rPr>
              <w:t>省发改委综合</w:t>
            </w:r>
            <w:proofErr w:type="gramEnd"/>
            <w:r>
              <w:rPr>
                <w:rFonts w:ascii="Times New Roman" w:hAnsi="Times New Roman" w:cs="方正仿宋_GBK" w:hint="eastAsia"/>
                <w:color w:val="000000"/>
                <w:kern w:val="0"/>
                <w:sz w:val="21"/>
                <w:szCs w:val="21"/>
                <w:lang w:bidi="ar"/>
              </w:rPr>
              <w:t>考评、市级机关绩效考评</w:t>
            </w:r>
          </w:p>
        </w:tc>
        <w:tc>
          <w:tcPr>
            <w:tcW w:w="1260" w:type="pct"/>
            <w:tcBorders>
              <w:tl2br w:val="nil"/>
              <w:tr2bl w:val="nil"/>
            </w:tcBorders>
            <w:shd w:val="clear" w:color="auto" w:fill="auto"/>
            <w:vAlign w:val="center"/>
          </w:tcPr>
          <w:p w:rsidR="001A79DF" w:rsidRDefault="00E70674">
            <w:pPr>
              <w:widowControl/>
              <w:spacing w:line="560" w:lineRule="exact"/>
              <w:ind w:firstLineChars="0" w:firstLine="0"/>
              <w:jc w:val="center"/>
              <w:rPr>
                <w:rFonts w:ascii="Times New Roman" w:hAnsi="Times New Roman" w:cs="方正仿宋_GBK"/>
                <w:color w:val="000000"/>
                <w:kern w:val="0"/>
                <w:sz w:val="21"/>
                <w:szCs w:val="21"/>
              </w:rPr>
            </w:pPr>
            <w:r>
              <w:rPr>
                <w:rFonts w:ascii="Times New Roman" w:eastAsia="方正楷体_GBK" w:hAnsi="Times New Roman" w:cs="方正楷体_GBK" w:hint="eastAsia"/>
                <w:color w:val="000000"/>
                <w:kern w:val="0"/>
                <w:sz w:val="22"/>
              </w:rPr>
              <w:t>优等</w:t>
            </w:r>
          </w:p>
        </w:tc>
      </w:tr>
    </w:tbl>
    <w:p w:rsidR="001A79DF" w:rsidRDefault="00E70674">
      <w:pPr>
        <w:pStyle w:val="1"/>
        <w:spacing w:line="560" w:lineRule="exact"/>
        <w:ind w:firstLine="640"/>
        <w:rPr>
          <w:rFonts w:ascii="Times New Roman" w:hAnsi="Times New Roman" w:cs="方正黑体_GBK"/>
          <w:szCs w:val="32"/>
        </w:rPr>
      </w:pPr>
      <w:bookmarkStart w:id="61" w:name="_Toc26779"/>
      <w:r>
        <w:rPr>
          <w:rFonts w:ascii="Times New Roman" w:hAnsi="Times New Roman" w:cs="方正黑体_GBK"/>
          <w:szCs w:val="32"/>
        </w:rPr>
        <w:t>二、</w:t>
      </w:r>
      <w:bookmarkEnd w:id="53"/>
      <w:bookmarkEnd w:id="54"/>
      <w:bookmarkEnd w:id="55"/>
      <w:bookmarkEnd w:id="56"/>
      <w:bookmarkEnd w:id="57"/>
      <w:bookmarkEnd w:id="58"/>
      <w:r>
        <w:rPr>
          <w:rFonts w:ascii="Times New Roman" w:hAnsi="Times New Roman" w:cs="方正黑体_GBK"/>
          <w:szCs w:val="32"/>
        </w:rPr>
        <w:t>评价结论</w:t>
      </w:r>
      <w:bookmarkEnd w:id="59"/>
      <w:bookmarkEnd w:id="60"/>
      <w:bookmarkEnd w:id="61"/>
    </w:p>
    <w:p w:rsidR="001A79DF" w:rsidRDefault="00E70674">
      <w:pPr>
        <w:spacing w:line="560" w:lineRule="exact"/>
        <w:ind w:firstLine="640"/>
        <w:rPr>
          <w:rFonts w:ascii="Times New Roman" w:hAnsi="Times New Roman" w:cs="方正仿宋_GBK"/>
          <w:color w:val="FF0000"/>
          <w:sz w:val="32"/>
          <w:szCs w:val="32"/>
        </w:rPr>
      </w:pPr>
      <w:r>
        <w:rPr>
          <w:rFonts w:ascii="Times New Roman" w:hAnsi="Times New Roman" w:cs="方正仿宋_GBK" w:hint="eastAsia"/>
          <w:sz w:val="32"/>
          <w:szCs w:val="32"/>
        </w:rPr>
        <w:t>本次绩效</w:t>
      </w:r>
      <w:proofErr w:type="gramStart"/>
      <w:r>
        <w:rPr>
          <w:rFonts w:ascii="Times New Roman" w:hAnsi="Times New Roman" w:cs="方正仿宋_GBK" w:hint="eastAsia"/>
          <w:sz w:val="32"/>
          <w:szCs w:val="32"/>
        </w:rPr>
        <w:t>自评价</w:t>
      </w:r>
      <w:proofErr w:type="gramEnd"/>
      <w:r>
        <w:rPr>
          <w:rFonts w:ascii="Times New Roman" w:hAnsi="Times New Roman" w:cs="方正仿宋_GBK" w:hint="eastAsia"/>
          <w:sz w:val="32"/>
          <w:szCs w:val="32"/>
        </w:rPr>
        <w:t>遵循科学规范、公开公正、绩效相关原则，对照部门职责和绩效目标，对</w:t>
      </w:r>
      <w:proofErr w:type="gramStart"/>
      <w:r>
        <w:rPr>
          <w:rFonts w:ascii="Times New Roman" w:hAnsi="Times New Roman" w:cs="Times New Roman"/>
          <w:sz w:val="32"/>
        </w:rPr>
        <w:t>南京</w:t>
      </w:r>
      <w:r>
        <w:rPr>
          <w:rFonts w:ascii="Times New Roman" w:hAnsi="Times New Roman" w:cs="方正仿宋_GBK"/>
          <w:sz w:val="32"/>
          <w:szCs w:val="32"/>
        </w:rPr>
        <w:t>市发改委</w:t>
      </w:r>
      <w:proofErr w:type="gramEnd"/>
      <w:r>
        <w:rPr>
          <w:rFonts w:ascii="Times New Roman" w:hAnsi="Times New Roman" w:cs="方正仿宋_GBK"/>
          <w:sz w:val="32"/>
          <w:szCs w:val="32"/>
        </w:rPr>
        <w:t>（本级）部门整体绩效，包括其部门预算和管理的专项资金使用情况、项目管理情况、完成情况及实施绩效</w:t>
      </w:r>
      <w:r>
        <w:rPr>
          <w:rFonts w:ascii="Times New Roman" w:hAnsi="Times New Roman" w:cs="方正仿宋_GBK" w:hint="eastAsia"/>
          <w:sz w:val="32"/>
          <w:szCs w:val="32"/>
        </w:rPr>
        <w:t>进行评价</w:t>
      </w:r>
      <w:r>
        <w:rPr>
          <w:rFonts w:ascii="Times New Roman" w:hAnsi="Times New Roman" w:cs="方正仿宋_GBK"/>
          <w:sz w:val="32"/>
          <w:szCs w:val="32"/>
        </w:rPr>
        <w:t>，评</w:t>
      </w:r>
      <w:r>
        <w:rPr>
          <w:rFonts w:ascii="Times New Roman" w:hAnsi="Times New Roman" w:cs="Times New Roman"/>
          <w:sz w:val="32"/>
        </w:rPr>
        <w:t>价时段为</w:t>
      </w:r>
      <w:r>
        <w:rPr>
          <w:rFonts w:ascii="Times New Roman" w:hAnsi="Times New Roman" w:cs="Times New Roman"/>
          <w:sz w:val="32"/>
        </w:rPr>
        <w:t>2025</w:t>
      </w:r>
      <w:r>
        <w:rPr>
          <w:rFonts w:ascii="Times New Roman" w:hAnsi="Times New Roman" w:cs="Times New Roman"/>
          <w:sz w:val="32"/>
        </w:rPr>
        <w:t>年</w:t>
      </w:r>
      <w:r>
        <w:rPr>
          <w:rFonts w:ascii="Times New Roman" w:hAnsi="Times New Roman" w:cs="Times New Roman"/>
          <w:sz w:val="32"/>
        </w:rPr>
        <w:t>1</w:t>
      </w:r>
      <w:r>
        <w:rPr>
          <w:rFonts w:ascii="Times New Roman" w:hAnsi="Times New Roman" w:cs="Times New Roman"/>
          <w:sz w:val="32"/>
        </w:rPr>
        <w:t>月</w:t>
      </w:r>
      <w:r>
        <w:rPr>
          <w:rFonts w:ascii="Times New Roman" w:hAnsi="Times New Roman" w:cs="Times New Roman"/>
          <w:sz w:val="32"/>
        </w:rPr>
        <w:t>1</w:t>
      </w:r>
      <w:r>
        <w:rPr>
          <w:rFonts w:ascii="Times New Roman" w:hAnsi="Times New Roman" w:cs="Times New Roman"/>
          <w:sz w:val="32"/>
        </w:rPr>
        <w:t>日至</w:t>
      </w:r>
      <w:r>
        <w:rPr>
          <w:rFonts w:ascii="Times New Roman" w:hAnsi="Times New Roman" w:cs="Times New Roman"/>
          <w:sz w:val="32"/>
        </w:rPr>
        <w:t>2025</w:t>
      </w:r>
      <w:r>
        <w:rPr>
          <w:rFonts w:ascii="Times New Roman" w:hAnsi="Times New Roman" w:cs="Times New Roman"/>
          <w:sz w:val="32"/>
        </w:rPr>
        <w:t>年</w:t>
      </w:r>
      <w:r>
        <w:rPr>
          <w:rFonts w:ascii="Times New Roman" w:hAnsi="Times New Roman" w:cs="Times New Roman"/>
          <w:sz w:val="32"/>
        </w:rPr>
        <w:t>12</w:t>
      </w:r>
      <w:r>
        <w:rPr>
          <w:rFonts w:ascii="Times New Roman" w:hAnsi="Times New Roman" w:cs="Times New Roman"/>
          <w:sz w:val="32"/>
        </w:rPr>
        <w:t>月</w:t>
      </w:r>
      <w:r>
        <w:rPr>
          <w:rFonts w:ascii="Times New Roman" w:hAnsi="Times New Roman" w:cs="Times New Roman"/>
          <w:sz w:val="32"/>
        </w:rPr>
        <w:t>31</w:t>
      </w:r>
      <w:r>
        <w:rPr>
          <w:rFonts w:ascii="Times New Roman" w:hAnsi="Times New Roman" w:cs="Times New Roman"/>
          <w:sz w:val="32"/>
        </w:rPr>
        <w:t>日。</w:t>
      </w:r>
      <w:r>
        <w:rPr>
          <w:rFonts w:ascii="Times New Roman" w:hAnsi="Times New Roman" w:cs="方正仿宋_GBK" w:hint="eastAsia"/>
          <w:sz w:val="32"/>
          <w:szCs w:val="32"/>
        </w:rPr>
        <w:t>2025</w:t>
      </w:r>
      <w:r>
        <w:rPr>
          <w:rFonts w:ascii="Times New Roman" w:hAnsi="Times New Roman" w:cs="方正仿宋_GBK" w:hint="eastAsia"/>
          <w:sz w:val="32"/>
          <w:szCs w:val="32"/>
        </w:rPr>
        <w:t>年度市</w:t>
      </w:r>
      <w:proofErr w:type="gramStart"/>
      <w:r>
        <w:rPr>
          <w:rFonts w:ascii="Times New Roman" w:hAnsi="Times New Roman" w:cs="方正仿宋_GBK" w:hint="eastAsia"/>
          <w:sz w:val="32"/>
          <w:szCs w:val="32"/>
        </w:rPr>
        <w:t>发改委部门</w:t>
      </w:r>
      <w:proofErr w:type="gramEnd"/>
      <w:r>
        <w:rPr>
          <w:rFonts w:ascii="Times New Roman" w:hAnsi="Times New Roman" w:cs="方正仿宋_GBK" w:hint="eastAsia"/>
          <w:sz w:val="32"/>
          <w:szCs w:val="32"/>
        </w:rPr>
        <w:t>业务管理和资金管理规范，圆满地完成各项工作任务，部门履职成效显著，但在绩效指标设置和绩效运行监控方面仍需加强。</w:t>
      </w:r>
      <w:proofErr w:type="gramStart"/>
      <w:r>
        <w:rPr>
          <w:rFonts w:ascii="Times New Roman" w:hAnsi="Times New Roman" w:cs="方正仿宋_GBK" w:hint="eastAsia"/>
          <w:sz w:val="32"/>
          <w:szCs w:val="32"/>
        </w:rPr>
        <w:t>经客观</w:t>
      </w:r>
      <w:proofErr w:type="gramEnd"/>
      <w:r>
        <w:rPr>
          <w:rFonts w:ascii="Times New Roman" w:hAnsi="Times New Roman" w:cs="方正仿宋_GBK" w:hint="eastAsia"/>
          <w:sz w:val="32"/>
          <w:szCs w:val="32"/>
        </w:rPr>
        <w:t>评价，部门整体绩效评价结果为</w:t>
      </w:r>
      <w:r>
        <w:rPr>
          <w:rFonts w:ascii="Times New Roman" w:hAnsi="Times New Roman" w:cs="方正仿宋_GBK" w:hint="eastAsia"/>
          <w:sz w:val="32"/>
          <w:szCs w:val="32"/>
        </w:rPr>
        <w:t>9</w:t>
      </w:r>
      <w:r>
        <w:rPr>
          <w:rFonts w:ascii="Times New Roman" w:hAnsi="Times New Roman" w:cs="方正仿宋_GBK"/>
          <w:sz w:val="32"/>
          <w:szCs w:val="32"/>
        </w:rPr>
        <w:t>4</w:t>
      </w:r>
      <w:r>
        <w:rPr>
          <w:rFonts w:ascii="Times New Roman" w:hAnsi="Times New Roman" w:cs="方正仿宋_GBK" w:hint="eastAsia"/>
          <w:sz w:val="32"/>
          <w:szCs w:val="32"/>
        </w:rPr>
        <w:t>.12</w:t>
      </w:r>
      <w:r>
        <w:rPr>
          <w:rFonts w:ascii="Times New Roman" w:hAnsi="Times New Roman" w:cs="方正仿宋_GBK" w:hint="eastAsia"/>
          <w:sz w:val="32"/>
          <w:szCs w:val="32"/>
        </w:rPr>
        <w:t>分，绩效等级为“优”。</w:t>
      </w:r>
      <w:r>
        <w:rPr>
          <w:rFonts w:ascii="方正仿宋_GBK" w:hAnsi="仿宋" w:hint="eastAsia"/>
          <w:sz w:val="32"/>
          <w:szCs w:val="32"/>
        </w:rPr>
        <w:t>评价认为，南京市</w:t>
      </w:r>
      <w:proofErr w:type="gramStart"/>
      <w:r>
        <w:rPr>
          <w:rFonts w:ascii="方正仿宋_GBK" w:hAnsi="仿宋" w:hint="eastAsia"/>
          <w:sz w:val="32"/>
          <w:szCs w:val="32"/>
        </w:rPr>
        <w:t>发改委有力助</w:t>
      </w:r>
      <w:proofErr w:type="gramEnd"/>
      <w:r>
        <w:rPr>
          <w:rFonts w:ascii="方正仿宋_GBK" w:hAnsi="仿宋" w:hint="eastAsia"/>
          <w:sz w:val="32"/>
          <w:szCs w:val="32"/>
        </w:rPr>
        <w:t>推了全市高质量发展，在推进规划计划实施、落实区域发展战略、推动产业</w:t>
      </w:r>
      <w:proofErr w:type="gramStart"/>
      <w:r>
        <w:rPr>
          <w:rFonts w:ascii="方正仿宋_GBK" w:hAnsi="仿宋" w:hint="eastAsia"/>
          <w:sz w:val="32"/>
          <w:szCs w:val="32"/>
        </w:rPr>
        <w:t>链快速</w:t>
      </w:r>
      <w:proofErr w:type="gramEnd"/>
      <w:r>
        <w:rPr>
          <w:rFonts w:ascii="方正仿宋_GBK" w:hAnsi="仿宋" w:hint="eastAsia"/>
          <w:sz w:val="32"/>
          <w:szCs w:val="32"/>
        </w:rPr>
        <w:t>成长、扩大固定资产投资、推进改革开放和改善民生福祉等方面</w:t>
      </w:r>
      <w:proofErr w:type="gramStart"/>
      <w:r>
        <w:rPr>
          <w:rFonts w:ascii="方正仿宋_GBK" w:hAnsi="仿宋" w:hint="eastAsia"/>
          <w:sz w:val="32"/>
          <w:szCs w:val="32"/>
        </w:rPr>
        <w:t>作出</w:t>
      </w:r>
      <w:proofErr w:type="gramEnd"/>
      <w:r>
        <w:rPr>
          <w:rFonts w:ascii="方正仿宋_GBK" w:hAnsi="仿宋" w:hint="eastAsia"/>
          <w:sz w:val="32"/>
          <w:szCs w:val="32"/>
        </w:rPr>
        <w:t>了重要贡献。但同时，在绩效管理和专项资金项目管理等方面也存在一定不足，有待进一步加强和完善。</w:t>
      </w:r>
    </w:p>
    <w:p w:rsidR="001A79DF" w:rsidRDefault="00E70674">
      <w:pPr>
        <w:pStyle w:val="a9"/>
        <w:spacing w:line="560" w:lineRule="exact"/>
        <w:ind w:leftChars="0" w:left="0" w:firstLineChars="0" w:firstLine="0"/>
        <w:jc w:val="center"/>
        <w:rPr>
          <w:rFonts w:eastAsia="方正黑体_GBK" w:cs="方正黑体_GBK"/>
          <w:szCs w:val="28"/>
        </w:rPr>
      </w:pPr>
      <w:r>
        <w:rPr>
          <w:rFonts w:eastAsia="方正黑体_GBK" w:cs="方正黑体_GBK" w:hint="eastAsia"/>
          <w:szCs w:val="28"/>
        </w:rPr>
        <w:t>表</w:t>
      </w:r>
      <w:r>
        <w:rPr>
          <w:rFonts w:eastAsia="方正黑体_GBK" w:cs="方正黑体_GBK" w:hint="eastAsia"/>
          <w:szCs w:val="28"/>
        </w:rPr>
        <w:t>6  2025</w:t>
      </w:r>
      <w:r>
        <w:rPr>
          <w:rFonts w:eastAsia="方正黑体_GBK" w:cs="方正黑体_GBK" w:hint="eastAsia"/>
          <w:szCs w:val="28"/>
        </w:rPr>
        <w:t>年度南京市</w:t>
      </w:r>
      <w:proofErr w:type="gramStart"/>
      <w:r>
        <w:rPr>
          <w:rFonts w:eastAsia="方正黑体_GBK" w:cs="方正黑体_GBK" w:hint="eastAsia"/>
          <w:szCs w:val="28"/>
        </w:rPr>
        <w:t>发改委部门</w:t>
      </w:r>
      <w:proofErr w:type="gramEnd"/>
      <w:r>
        <w:rPr>
          <w:rFonts w:eastAsia="方正黑体_GBK" w:cs="方正黑体_GBK" w:hint="eastAsia"/>
          <w:szCs w:val="28"/>
        </w:rPr>
        <w:t>整体绩效评价得分汇总表</w:t>
      </w:r>
    </w:p>
    <w:tbl>
      <w:tblPr>
        <w:tblW w:w="4998" w:type="pct"/>
        <w:tblLook w:val="04A0" w:firstRow="1" w:lastRow="0" w:firstColumn="1" w:lastColumn="0" w:noHBand="0" w:noVBand="1"/>
      </w:tblPr>
      <w:tblGrid>
        <w:gridCol w:w="2476"/>
        <w:gridCol w:w="1707"/>
        <w:gridCol w:w="2014"/>
        <w:gridCol w:w="2322"/>
      </w:tblGrid>
      <w:tr w:rsidR="001A79DF">
        <w:trPr>
          <w:trHeight w:val="275"/>
        </w:trPr>
        <w:tc>
          <w:tcPr>
            <w:tcW w:w="14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eastAsia="方正黑体_GBK" w:hAnsi="Times New Roman" w:cs="方正黑体_GBK"/>
                <w:color w:val="000000"/>
                <w:sz w:val="21"/>
                <w:szCs w:val="21"/>
              </w:rPr>
            </w:pPr>
            <w:r>
              <w:rPr>
                <w:rFonts w:ascii="Times New Roman" w:eastAsia="方正黑体_GBK" w:hAnsi="Times New Roman" w:cs="方正黑体_GBK" w:hint="eastAsia"/>
                <w:color w:val="000000"/>
                <w:kern w:val="0"/>
                <w:sz w:val="21"/>
                <w:szCs w:val="21"/>
                <w:lang w:bidi="ar"/>
              </w:rPr>
              <w:t>指标</w:t>
            </w:r>
          </w:p>
        </w:tc>
        <w:tc>
          <w:tcPr>
            <w:tcW w:w="10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eastAsia="方正黑体_GBK" w:hAnsi="Times New Roman" w:cs="方正黑体_GBK"/>
                <w:color w:val="000000"/>
                <w:sz w:val="21"/>
                <w:szCs w:val="21"/>
              </w:rPr>
            </w:pPr>
            <w:r>
              <w:rPr>
                <w:rFonts w:ascii="Times New Roman" w:eastAsia="方正黑体_GBK" w:hAnsi="Times New Roman" w:cs="方正黑体_GBK" w:hint="eastAsia"/>
                <w:color w:val="000000"/>
                <w:kern w:val="0"/>
                <w:sz w:val="21"/>
                <w:szCs w:val="21"/>
                <w:lang w:bidi="ar"/>
              </w:rPr>
              <w:t>权重</w:t>
            </w:r>
          </w:p>
        </w:tc>
        <w:tc>
          <w:tcPr>
            <w:tcW w:w="11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eastAsia="方正黑体_GBK" w:hAnsi="Times New Roman" w:cs="方正黑体_GBK"/>
                <w:color w:val="000000"/>
                <w:sz w:val="21"/>
                <w:szCs w:val="21"/>
              </w:rPr>
            </w:pPr>
            <w:r>
              <w:rPr>
                <w:rFonts w:ascii="Times New Roman" w:eastAsia="方正黑体_GBK" w:hAnsi="Times New Roman" w:cs="方正黑体_GBK" w:hint="eastAsia"/>
                <w:color w:val="000000"/>
                <w:kern w:val="0"/>
                <w:sz w:val="21"/>
                <w:szCs w:val="21"/>
                <w:lang w:bidi="ar"/>
              </w:rPr>
              <w:t>得分</w:t>
            </w:r>
          </w:p>
        </w:tc>
        <w:tc>
          <w:tcPr>
            <w:tcW w:w="13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eastAsia="方正黑体_GBK" w:hAnsi="Times New Roman" w:cs="方正黑体_GBK"/>
                <w:color w:val="000000"/>
                <w:sz w:val="21"/>
                <w:szCs w:val="21"/>
              </w:rPr>
            </w:pPr>
            <w:r>
              <w:rPr>
                <w:rFonts w:ascii="Times New Roman" w:eastAsia="方正黑体_GBK" w:hAnsi="Times New Roman" w:cs="方正黑体_GBK" w:hint="eastAsia"/>
                <w:color w:val="000000"/>
                <w:kern w:val="0"/>
                <w:sz w:val="21"/>
                <w:szCs w:val="21"/>
                <w:lang w:bidi="ar"/>
              </w:rPr>
              <w:t>得分率</w:t>
            </w:r>
          </w:p>
        </w:tc>
      </w:tr>
      <w:tr w:rsidR="001A79DF">
        <w:trPr>
          <w:trHeight w:val="275"/>
        </w:trPr>
        <w:tc>
          <w:tcPr>
            <w:tcW w:w="14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sz w:val="21"/>
                <w:szCs w:val="21"/>
              </w:rPr>
            </w:pPr>
            <w:r>
              <w:rPr>
                <w:rFonts w:ascii="Times New Roman" w:hAnsi="Times New Roman" w:cs="方正仿宋_GBK" w:hint="eastAsia"/>
                <w:color w:val="000000"/>
                <w:kern w:val="0"/>
                <w:sz w:val="21"/>
                <w:szCs w:val="21"/>
                <w:lang w:bidi="ar"/>
              </w:rPr>
              <w:t>决策</w:t>
            </w:r>
          </w:p>
        </w:tc>
        <w:tc>
          <w:tcPr>
            <w:tcW w:w="10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sz w:val="21"/>
                <w:szCs w:val="21"/>
              </w:rPr>
            </w:pPr>
            <w:r>
              <w:rPr>
                <w:rFonts w:ascii="Times New Roman" w:hAnsi="Times New Roman" w:cs="方正仿宋_GBK" w:hint="eastAsia"/>
                <w:color w:val="000000"/>
                <w:kern w:val="0"/>
                <w:sz w:val="21"/>
                <w:szCs w:val="21"/>
                <w:lang w:bidi="ar"/>
              </w:rPr>
              <w:t>10</w:t>
            </w:r>
          </w:p>
        </w:tc>
        <w:tc>
          <w:tcPr>
            <w:tcW w:w="11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sz w:val="21"/>
                <w:szCs w:val="21"/>
              </w:rPr>
            </w:pPr>
            <w:r>
              <w:rPr>
                <w:rFonts w:ascii="Times New Roman" w:hAnsi="Times New Roman" w:cs="方正仿宋_GBK" w:hint="eastAsia"/>
                <w:kern w:val="0"/>
                <w:sz w:val="21"/>
                <w:szCs w:val="21"/>
                <w:lang w:bidi="ar"/>
              </w:rPr>
              <w:t>9.6</w:t>
            </w:r>
          </w:p>
        </w:tc>
        <w:tc>
          <w:tcPr>
            <w:tcW w:w="13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sz w:val="21"/>
                <w:szCs w:val="21"/>
              </w:rPr>
            </w:pPr>
            <w:r>
              <w:rPr>
                <w:rFonts w:ascii="Times New Roman" w:hAnsi="Times New Roman" w:cs="方正仿宋_GBK" w:hint="eastAsia"/>
                <w:kern w:val="0"/>
                <w:sz w:val="21"/>
                <w:szCs w:val="21"/>
                <w:lang w:bidi="ar"/>
              </w:rPr>
              <w:t>96.00%</w:t>
            </w:r>
          </w:p>
        </w:tc>
      </w:tr>
      <w:tr w:rsidR="001A79DF">
        <w:trPr>
          <w:trHeight w:val="275"/>
        </w:trPr>
        <w:tc>
          <w:tcPr>
            <w:tcW w:w="14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sz w:val="21"/>
                <w:szCs w:val="21"/>
              </w:rPr>
            </w:pPr>
            <w:r>
              <w:rPr>
                <w:rFonts w:ascii="Times New Roman" w:hAnsi="Times New Roman" w:cs="方正仿宋_GBK" w:hint="eastAsia"/>
                <w:color w:val="000000"/>
                <w:kern w:val="0"/>
                <w:sz w:val="21"/>
                <w:szCs w:val="21"/>
                <w:lang w:bidi="ar"/>
              </w:rPr>
              <w:t>过程</w:t>
            </w:r>
          </w:p>
        </w:tc>
        <w:tc>
          <w:tcPr>
            <w:tcW w:w="10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sz w:val="21"/>
                <w:szCs w:val="21"/>
              </w:rPr>
            </w:pPr>
            <w:r>
              <w:rPr>
                <w:rFonts w:ascii="Times New Roman" w:hAnsi="Times New Roman" w:cs="方正仿宋_GBK" w:hint="eastAsia"/>
                <w:color w:val="000000"/>
                <w:kern w:val="0"/>
                <w:sz w:val="21"/>
                <w:szCs w:val="21"/>
                <w:lang w:bidi="ar"/>
              </w:rPr>
              <w:t>23</w:t>
            </w:r>
          </w:p>
        </w:tc>
        <w:tc>
          <w:tcPr>
            <w:tcW w:w="11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sz w:val="21"/>
                <w:szCs w:val="21"/>
              </w:rPr>
            </w:pPr>
            <w:r>
              <w:rPr>
                <w:rFonts w:ascii="Times New Roman" w:hAnsi="Times New Roman" w:cs="方正仿宋_GBK" w:hint="eastAsia"/>
                <w:kern w:val="0"/>
                <w:sz w:val="21"/>
                <w:szCs w:val="21"/>
                <w:lang w:bidi="ar"/>
              </w:rPr>
              <w:t>21.82</w:t>
            </w:r>
          </w:p>
        </w:tc>
        <w:tc>
          <w:tcPr>
            <w:tcW w:w="13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sz w:val="21"/>
                <w:szCs w:val="21"/>
              </w:rPr>
            </w:pPr>
            <w:r>
              <w:rPr>
                <w:rFonts w:ascii="Times New Roman" w:hAnsi="Times New Roman" w:cs="方正仿宋_GBK" w:hint="eastAsia"/>
                <w:kern w:val="0"/>
                <w:sz w:val="21"/>
                <w:szCs w:val="21"/>
                <w:lang w:bidi="ar"/>
              </w:rPr>
              <w:t>94.87%</w:t>
            </w:r>
          </w:p>
        </w:tc>
      </w:tr>
      <w:tr w:rsidR="001A79DF">
        <w:trPr>
          <w:trHeight w:val="275"/>
        </w:trPr>
        <w:tc>
          <w:tcPr>
            <w:tcW w:w="14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sz w:val="21"/>
                <w:szCs w:val="21"/>
              </w:rPr>
            </w:pPr>
            <w:r>
              <w:rPr>
                <w:rFonts w:ascii="Times New Roman" w:hAnsi="Times New Roman" w:cs="方正仿宋_GBK" w:hint="eastAsia"/>
                <w:color w:val="000000"/>
                <w:kern w:val="0"/>
                <w:sz w:val="21"/>
                <w:szCs w:val="21"/>
                <w:lang w:bidi="ar"/>
              </w:rPr>
              <w:t>产出</w:t>
            </w:r>
          </w:p>
        </w:tc>
        <w:tc>
          <w:tcPr>
            <w:tcW w:w="10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sz w:val="21"/>
                <w:szCs w:val="21"/>
              </w:rPr>
            </w:pPr>
            <w:r>
              <w:rPr>
                <w:rFonts w:ascii="Times New Roman" w:hAnsi="Times New Roman" w:cs="方正仿宋_GBK" w:hint="eastAsia"/>
                <w:color w:val="000000"/>
                <w:kern w:val="0"/>
                <w:sz w:val="21"/>
                <w:szCs w:val="21"/>
                <w:lang w:bidi="ar"/>
              </w:rPr>
              <w:t>40</w:t>
            </w:r>
          </w:p>
        </w:tc>
        <w:tc>
          <w:tcPr>
            <w:tcW w:w="11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sz w:val="21"/>
                <w:szCs w:val="21"/>
              </w:rPr>
            </w:pPr>
            <w:r>
              <w:rPr>
                <w:rFonts w:ascii="Times New Roman" w:hAnsi="Times New Roman" w:cs="方正仿宋_GBK" w:hint="eastAsia"/>
                <w:kern w:val="0"/>
                <w:sz w:val="21"/>
                <w:szCs w:val="21"/>
                <w:lang w:bidi="ar"/>
              </w:rPr>
              <w:t>38.7</w:t>
            </w:r>
          </w:p>
        </w:tc>
        <w:tc>
          <w:tcPr>
            <w:tcW w:w="13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sz w:val="21"/>
                <w:szCs w:val="21"/>
              </w:rPr>
            </w:pPr>
            <w:r>
              <w:rPr>
                <w:rFonts w:ascii="Times New Roman" w:hAnsi="Times New Roman" w:cs="方正仿宋_GBK" w:hint="eastAsia"/>
                <w:kern w:val="0"/>
                <w:sz w:val="21"/>
                <w:szCs w:val="21"/>
                <w:lang w:bidi="ar"/>
              </w:rPr>
              <w:t>96.75%</w:t>
            </w:r>
          </w:p>
        </w:tc>
      </w:tr>
      <w:tr w:rsidR="001A79DF">
        <w:trPr>
          <w:trHeight w:val="90"/>
        </w:trPr>
        <w:tc>
          <w:tcPr>
            <w:tcW w:w="14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sz w:val="21"/>
                <w:szCs w:val="21"/>
              </w:rPr>
            </w:pPr>
            <w:r>
              <w:rPr>
                <w:rFonts w:ascii="Times New Roman" w:hAnsi="Times New Roman" w:cs="方正仿宋_GBK" w:hint="eastAsia"/>
                <w:color w:val="000000"/>
                <w:kern w:val="0"/>
                <w:sz w:val="21"/>
                <w:szCs w:val="21"/>
                <w:lang w:bidi="ar"/>
              </w:rPr>
              <w:lastRenderedPageBreak/>
              <w:t>效益</w:t>
            </w:r>
          </w:p>
        </w:tc>
        <w:tc>
          <w:tcPr>
            <w:tcW w:w="10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sz w:val="21"/>
                <w:szCs w:val="21"/>
              </w:rPr>
            </w:pPr>
            <w:r>
              <w:rPr>
                <w:rFonts w:ascii="Times New Roman" w:hAnsi="Times New Roman" w:cs="方正仿宋_GBK" w:hint="eastAsia"/>
                <w:color w:val="000000"/>
                <w:kern w:val="0"/>
                <w:sz w:val="21"/>
                <w:szCs w:val="21"/>
                <w:lang w:bidi="ar"/>
              </w:rPr>
              <w:t>27</w:t>
            </w:r>
          </w:p>
        </w:tc>
        <w:tc>
          <w:tcPr>
            <w:tcW w:w="11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sz w:val="21"/>
                <w:szCs w:val="21"/>
              </w:rPr>
            </w:pPr>
            <w:r>
              <w:rPr>
                <w:rFonts w:ascii="Times New Roman" w:hAnsi="Times New Roman" w:cs="方正仿宋_GBK" w:hint="eastAsia"/>
                <w:kern w:val="0"/>
                <w:sz w:val="21"/>
                <w:szCs w:val="21"/>
                <w:lang w:bidi="ar"/>
              </w:rPr>
              <w:t>24</w:t>
            </w:r>
          </w:p>
        </w:tc>
        <w:tc>
          <w:tcPr>
            <w:tcW w:w="13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sz w:val="21"/>
                <w:szCs w:val="21"/>
              </w:rPr>
            </w:pPr>
            <w:r>
              <w:rPr>
                <w:rFonts w:ascii="Times New Roman" w:hAnsi="Times New Roman" w:cs="方正仿宋_GBK" w:hint="eastAsia"/>
                <w:kern w:val="0"/>
                <w:sz w:val="21"/>
                <w:szCs w:val="21"/>
                <w:lang w:bidi="ar"/>
              </w:rPr>
              <w:t>88.89%</w:t>
            </w:r>
          </w:p>
        </w:tc>
      </w:tr>
      <w:tr w:rsidR="001A79DF">
        <w:trPr>
          <w:trHeight w:val="275"/>
        </w:trPr>
        <w:tc>
          <w:tcPr>
            <w:tcW w:w="14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b/>
                <w:bCs/>
                <w:color w:val="000000"/>
                <w:kern w:val="0"/>
                <w:sz w:val="21"/>
                <w:szCs w:val="21"/>
                <w:lang w:bidi="ar"/>
              </w:rPr>
            </w:pPr>
            <w:r>
              <w:rPr>
                <w:rFonts w:ascii="Times New Roman" w:hAnsi="Times New Roman" w:cs="方正仿宋_GBK" w:hint="eastAsia"/>
                <w:b/>
                <w:bCs/>
                <w:color w:val="000000"/>
                <w:kern w:val="0"/>
                <w:sz w:val="21"/>
                <w:szCs w:val="21"/>
                <w:lang w:bidi="ar"/>
              </w:rPr>
              <w:t>小计</w:t>
            </w:r>
          </w:p>
        </w:tc>
        <w:tc>
          <w:tcPr>
            <w:tcW w:w="10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b/>
                <w:bCs/>
                <w:color w:val="000000"/>
                <w:kern w:val="0"/>
                <w:sz w:val="21"/>
                <w:szCs w:val="21"/>
                <w:lang w:bidi="ar"/>
              </w:rPr>
            </w:pPr>
            <w:r>
              <w:rPr>
                <w:rFonts w:ascii="Times New Roman" w:hAnsi="Times New Roman" w:cs="方正仿宋_GBK" w:hint="eastAsia"/>
                <w:b/>
                <w:bCs/>
                <w:color w:val="000000"/>
                <w:kern w:val="0"/>
                <w:sz w:val="21"/>
                <w:szCs w:val="21"/>
                <w:lang w:bidi="ar"/>
              </w:rPr>
              <w:t>100</w:t>
            </w:r>
          </w:p>
        </w:tc>
        <w:tc>
          <w:tcPr>
            <w:tcW w:w="11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b/>
                <w:bCs/>
                <w:kern w:val="0"/>
                <w:sz w:val="21"/>
                <w:szCs w:val="21"/>
                <w:lang w:bidi="ar"/>
              </w:rPr>
            </w:pPr>
            <w:r>
              <w:rPr>
                <w:rFonts w:ascii="Times New Roman" w:hAnsi="Times New Roman" w:cs="方正仿宋_GBK" w:hint="eastAsia"/>
                <w:b/>
                <w:bCs/>
                <w:kern w:val="0"/>
                <w:sz w:val="21"/>
                <w:szCs w:val="21"/>
                <w:lang w:bidi="ar"/>
              </w:rPr>
              <w:t>94.12</w:t>
            </w:r>
          </w:p>
        </w:tc>
        <w:tc>
          <w:tcPr>
            <w:tcW w:w="13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b/>
                <w:bCs/>
                <w:kern w:val="0"/>
                <w:sz w:val="21"/>
                <w:szCs w:val="21"/>
                <w:lang w:bidi="ar"/>
              </w:rPr>
            </w:pPr>
            <w:r>
              <w:rPr>
                <w:rFonts w:ascii="Times New Roman" w:hAnsi="Times New Roman" w:cs="方正仿宋_GBK" w:hint="eastAsia"/>
                <w:b/>
                <w:bCs/>
                <w:kern w:val="0"/>
                <w:sz w:val="21"/>
                <w:szCs w:val="21"/>
                <w:lang w:bidi="ar"/>
              </w:rPr>
              <w:t>94.12%</w:t>
            </w:r>
          </w:p>
        </w:tc>
      </w:tr>
      <w:tr w:rsidR="001A79DF">
        <w:trPr>
          <w:trHeight w:val="275"/>
        </w:trPr>
        <w:tc>
          <w:tcPr>
            <w:tcW w:w="14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000000"/>
                <w:sz w:val="21"/>
                <w:szCs w:val="21"/>
              </w:rPr>
            </w:pPr>
            <w:r>
              <w:rPr>
                <w:rFonts w:ascii="Times New Roman" w:hAnsi="Times New Roman" w:cs="方正仿宋_GBK" w:hint="eastAsia"/>
                <w:color w:val="000000"/>
                <w:kern w:val="0"/>
                <w:sz w:val="21"/>
                <w:szCs w:val="21"/>
                <w:lang w:bidi="ar"/>
              </w:rPr>
              <w:t>加减分项</w:t>
            </w:r>
          </w:p>
        </w:tc>
        <w:tc>
          <w:tcPr>
            <w:tcW w:w="10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1A79DF">
            <w:pPr>
              <w:widowControl/>
              <w:spacing w:line="560" w:lineRule="exact"/>
              <w:ind w:firstLineChars="0" w:firstLine="0"/>
              <w:jc w:val="center"/>
              <w:rPr>
                <w:rFonts w:ascii="Times New Roman" w:hAnsi="Times New Roman" w:cs="方正仿宋_GBK"/>
                <w:color w:val="000000"/>
                <w:sz w:val="21"/>
                <w:szCs w:val="21"/>
              </w:rPr>
            </w:pPr>
          </w:p>
        </w:tc>
        <w:tc>
          <w:tcPr>
            <w:tcW w:w="11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color w:val="FF0000"/>
                <w:sz w:val="21"/>
                <w:szCs w:val="21"/>
              </w:rPr>
            </w:pPr>
            <w:r>
              <w:rPr>
                <w:rFonts w:ascii="Times New Roman" w:hAnsi="Times New Roman" w:cs="方正仿宋_GBK" w:hint="eastAsia"/>
                <w:kern w:val="0"/>
                <w:sz w:val="21"/>
                <w:szCs w:val="21"/>
                <w:lang w:bidi="ar"/>
              </w:rPr>
              <w:t>1</w:t>
            </w:r>
          </w:p>
        </w:tc>
        <w:tc>
          <w:tcPr>
            <w:tcW w:w="13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1A79DF">
            <w:pPr>
              <w:widowControl/>
              <w:spacing w:line="560" w:lineRule="exact"/>
              <w:ind w:firstLineChars="0" w:firstLine="0"/>
              <w:jc w:val="center"/>
              <w:rPr>
                <w:rFonts w:ascii="Times New Roman" w:hAnsi="Times New Roman" w:cs="方正仿宋_GBK"/>
                <w:color w:val="FF0000"/>
                <w:sz w:val="21"/>
                <w:szCs w:val="21"/>
              </w:rPr>
            </w:pPr>
          </w:p>
        </w:tc>
      </w:tr>
      <w:tr w:rsidR="001A79DF">
        <w:trPr>
          <w:trHeight w:val="275"/>
        </w:trPr>
        <w:tc>
          <w:tcPr>
            <w:tcW w:w="145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b/>
                <w:bCs/>
                <w:color w:val="000000"/>
                <w:sz w:val="21"/>
                <w:szCs w:val="21"/>
              </w:rPr>
            </w:pPr>
            <w:r>
              <w:rPr>
                <w:rFonts w:ascii="Times New Roman" w:hAnsi="Times New Roman" w:cs="方正仿宋_GBK" w:hint="eastAsia"/>
                <w:b/>
                <w:bCs/>
                <w:color w:val="000000"/>
                <w:kern w:val="0"/>
                <w:sz w:val="21"/>
                <w:szCs w:val="21"/>
                <w:lang w:bidi="ar"/>
              </w:rPr>
              <w:t>合计</w:t>
            </w:r>
          </w:p>
        </w:tc>
        <w:tc>
          <w:tcPr>
            <w:tcW w:w="10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b/>
                <w:bCs/>
                <w:color w:val="000000"/>
                <w:sz w:val="21"/>
                <w:szCs w:val="21"/>
              </w:rPr>
            </w:pPr>
            <w:r>
              <w:rPr>
                <w:rFonts w:ascii="Times New Roman" w:hAnsi="Times New Roman" w:cs="方正仿宋_GBK" w:hint="eastAsia"/>
                <w:b/>
                <w:bCs/>
                <w:color w:val="000000"/>
                <w:kern w:val="0"/>
                <w:sz w:val="21"/>
                <w:szCs w:val="21"/>
                <w:lang w:bidi="ar"/>
              </w:rPr>
              <w:t>100</w:t>
            </w:r>
          </w:p>
        </w:tc>
        <w:tc>
          <w:tcPr>
            <w:tcW w:w="118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b/>
                <w:bCs/>
                <w:sz w:val="21"/>
                <w:szCs w:val="21"/>
              </w:rPr>
            </w:pPr>
            <w:r>
              <w:rPr>
                <w:rFonts w:ascii="Times New Roman" w:hAnsi="Times New Roman" w:cs="方正仿宋_GBK" w:hint="eastAsia"/>
                <w:b/>
                <w:bCs/>
                <w:kern w:val="0"/>
                <w:sz w:val="21"/>
                <w:szCs w:val="21"/>
                <w:lang w:bidi="ar"/>
              </w:rPr>
              <w:t>95.12</w:t>
            </w:r>
          </w:p>
        </w:tc>
        <w:tc>
          <w:tcPr>
            <w:tcW w:w="13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1A79DF" w:rsidRDefault="00E70674">
            <w:pPr>
              <w:widowControl/>
              <w:spacing w:line="560" w:lineRule="exact"/>
              <w:ind w:firstLineChars="0" w:firstLine="0"/>
              <w:jc w:val="center"/>
              <w:textAlignment w:val="center"/>
              <w:rPr>
                <w:rFonts w:ascii="Times New Roman" w:hAnsi="Times New Roman" w:cs="方正仿宋_GBK"/>
                <w:b/>
                <w:bCs/>
                <w:sz w:val="21"/>
                <w:szCs w:val="21"/>
              </w:rPr>
            </w:pPr>
            <w:r>
              <w:rPr>
                <w:rFonts w:ascii="Times New Roman" w:hAnsi="Times New Roman" w:cs="方正仿宋_GBK" w:hint="eastAsia"/>
                <w:b/>
                <w:bCs/>
                <w:kern w:val="0"/>
                <w:sz w:val="21"/>
                <w:szCs w:val="21"/>
                <w:lang w:bidi="ar"/>
              </w:rPr>
              <w:t>95.12%</w:t>
            </w:r>
          </w:p>
        </w:tc>
      </w:tr>
    </w:tbl>
    <w:p w:rsidR="001A79DF" w:rsidRDefault="00E70674">
      <w:pPr>
        <w:pStyle w:val="1"/>
        <w:spacing w:line="560" w:lineRule="exact"/>
        <w:ind w:firstLine="640"/>
        <w:rPr>
          <w:rFonts w:ascii="Times New Roman" w:hAnsi="Times New Roman" w:cs="方正黑体_GBK"/>
          <w:szCs w:val="32"/>
        </w:rPr>
      </w:pPr>
      <w:bookmarkStart w:id="62" w:name="_Toc966"/>
      <w:bookmarkStart w:id="63" w:name="_Toc170474496"/>
      <w:bookmarkStart w:id="64" w:name="_Toc169773115"/>
      <w:r>
        <w:rPr>
          <w:rFonts w:ascii="Times New Roman" w:hAnsi="Times New Roman" w:cs="方正黑体_GBK"/>
          <w:szCs w:val="32"/>
        </w:rPr>
        <w:t>三、部门履职成效</w:t>
      </w:r>
      <w:bookmarkEnd w:id="62"/>
      <w:bookmarkEnd w:id="63"/>
      <w:bookmarkEnd w:id="64"/>
    </w:p>
    <w:p w:rsidR="001A79DF" w:rsidRDefault="00E70674">
      <w:pPr>
        <w:spacing w:line="560" w:lineRule="exact"/>
        <w:ind w:firstLine="640"/>
        <w:rPr>
          <w:rFonts w:ascii="Times New Roman" w:hAnsi="Times New Roman" w:cs="Times New Roman"/>
          <w:sz w:val="32"/>
          <w:szCs w:val="32"/>
        </w:rPr>
      </w:pPr>
      <w:r>
        <w:rPr>
          <w:rFonts w:ascii="Times New Roman" w:eastAsia="方正楷体_GBK" w:hAnsi="Times New Roman" w:cs="Times New Roman"/>
          <w:sz w:val="32"/>
          <w:szCs w:val="32"/>
        </w:rPr>
        <w:t>（一）</w:t>
      </w:r>
      <w:r>
        <w:rPr>
          <w:rFonts w:ascii="Times New Roman" w:eastAsia="方正楷体_GBK" w:hAnsi="Times New Roman" w:cs="Times New Roman" w:hint="eastAsia"/>
          <w:sz w:val="32"/>
          <w:szCs w:val="32"/>
        </w:rPr>
        <w:t>促进</w:t>
      </w:r>
      <w:r>
        <w:rPr>
          <w:rFonts w:ascii="Times New Roman" w:eastAsia="方正楷体_GBK" w:hAnsi="Times New Roman" w:cs="Times New Roman"/>
          <w:sz w:val="32"/>
          <w:szCs w:val="32"/>
        </w:rPr>
        <w:t>经济运行稳中有进。</w:t>
      </w:r>
      <w:r>
        <w:rPr>
          <w:rFonts w:ascii="Times New Roman" w:hAnsi="Times New Roman" w:cs="Times New Roman"/>
          <w:sz w:val="32"/>
          <w:szCs w:val="32"/>
        </w:rPr>
        <w:t>强化经济调度保障。</w:t>
      </w:r>
      <w:r>
        <w:rPr>
          <w:rFonts w:ascii="Times New Roman Regular" w:hAnsi="Times New Roman Regular" w:cs="Times New Roman Regular"/>
          <w:sz w:val="32"/>
          <w:szCs w:val="32"/>
        </w:rPr>
        <w:t>建</w:t>
      </w:r>
      <w:r>
        <w:rPr>
          <w:rFonts w:ascii="Times New Roman" w:hAnsi="Times New Roman" w:cs="Times New Roman"/>
          <w:sz w:val="32"/>
          <w:szCs w:val="32"/>
        </w:rPr>
        <w:t>立</w:t>
      </w:r>
      <w:r>
        <w:rPr>
          <w:rFonts w:ascii="Times New Roman" w:hAnsi="Times New Roman" w:cs="Times New Roman"/>
          <w:sz w:val="32"/>
          <w:szCs w:val="32"/>
        </w:rPr>
        <w:t>“</w:t>
      </w:r>
      <w:r>
        <w:rPr>
          <w:rFonts w:ascii="Times New Roman" w:hAnsi="Times New Roman" w:cs="Times New Roman"/>
          <w:sz w:val="32"/>
          <w:szCs w:val="32"/>
        </w:rPr>
        <w:t>周调度、旬报告、月盘点</w:t>
      </w:r>
      <w:r>
        <w:rPr>
          <w:rFonts w:ascii="Times New Roman" w:hAnsi="Times New Roman" w:cs="Times New Roman"/>
          <w:sz w:val="32"/>
          <w:szCs w:val="32"/>
        </w:rPr>
        <w:t>”</w:t>
      </w:r>
      <w:r>
        <w:rPr>
          <w:rFonts w:ascii="Times New Roman" w:hAnsi="Times New Roman" w:cs="Times New Roman"/>
          <w:sz w:val="32"/>
          <w:szCs w:val="32"/>
        </w:rPr>
        <w:t>数</w:t>
      </w:r>
      <w:r>
        <w:rPr>
          <w:rFonts w:ascii="Times New Roman Regular" w:hAnsi="Times New Roman Regular" w:cs="Times New Roman Regular"/>
          <w:sz w:val="32"/>
          <w:szCs w:val="32"/>
        </w:rPr>
        <w:t>据填报</w:t>
      </w:r>
      <w:r>
        <w:rPr>
          <w:rFonts w:ascii="Times New Roman Regular" w:hAnsi="Times New Roman Regular" w:cs="Times New Roman Regular" w:hint="eastAsia"/>
          <w:sz w:val="32"/>
          <w:szCs w:val="32"/>
        </w:rPr>
        <w:t>和</w:t>
      </w:r>
      <w:r>
        <w:rPr>
          <w:rFonts w:ascii="Times New Roman Regular" w:hAnsi="Times New Roman Regular" w:cs="Times New Roman Regular"/>
          <w:sz w:val="32"/>
          <w:szCs w:val="32"/>
        </w:rPr>
        <w:t>窗口期</w:t>
      </w:r>
      <w:proofErr w:type="gramStart"/>
      <w:r>
        <w:rPr>
          <w:rFonts w:ascii="Times New Roman Regular" w:hAnsi="Times New Roman Regular" w:cs="Times New Roman Regular"/>
          <w:sz w:val="32"/>
          <w:szCs w:val="32"/>
        </w:rPr>
        <w:t>日报告</w:t>
      </w:r>
      <w:proofErr w:type="gramEnd"/>
      <w:r>
        <w:rPr>
          <w:rFonts w:ascii="Times New Roman Regular" w:hAnsi="Times New Roman Regular" w:cs="Times New Roman Regular"/>
          <w:sz w:val="32"/>
          <w:szCs w:val="32"/>
        </w:rPr>
        <w:t>制度，逐季印发经济工作要点，</w:t>
      </w:r>
      <w:r>
        <w:rPr>
          <w:rFonts w:ascii="Times New Roman" w:hAnsi="Times New Roman" w:cs="Times New Roman"/>
          <w:sz w:val="32"/>
          <w:szCs w:val="32"/>
        </w:rPr>
        <w:t>全年形成经济形势分析材料</w:t>
      </w:r>
      <w:r>
        <w:rPr>
          <w:rFonts w:ascii="Times New Roman" w:hAnsi="Times New Roman" w:cs="Times New Roman"/>
          <w:sz w:val="32"/>
          <w:szCs w:val="32"/>
        </w:rPr>
        <w:t>46</w:t>
      </w:r>
      <w:r>
        <w:rPr>
          <w:rFonts w:ascii="Times New Roman" w:hAnsi="Times New Roman" w:cs="Times New Roman"/>
          <w:sz w:val="32"/>
          <w:szCs w:val="32"/>
        </w:rPr>
        <w:t>篇、城市旬报</w:t>
      </w:r>
      <w:r>
        <w:rPr>
          <w:rFonts w:ascii="Times New Roman" w:hAnsi="Times New Roman" w:cs="Times New Roman"/>
          <w:sz w:val="32"/>
          <w:szCs w:val="32"/>
        </w:rPr>
        <w:t>22</w:t>
      </w:r>
      <w:r>
        <w:rPr>
          <w:rFonts w:ascii="Times New Roman" w:hAnsi="Times New Roman" w:cs="Times New Roman"/>
          <w:sz w:val="32"/>
          <w:szCs w:val="32"/>
        </w:rPr>
        <w:t>期、日报</w:t>
      </w:r>
      <w:r>
        <w:rPr>
          <w:rFonts w:ascii="Times New Roman" w:hAnsi="Times New Roman" w:cs="Times New Roman"/>
          <w:sz w:val="32"/>
          <w:szCs w:val="32"/>
        </w:rPr>
        <w:t>75</w:t>
      </w:r>
      <w:r>
        <w:rPr>
          <w:rFonts w:ascii="Times New Roman" w:hAnsi="Times New Roman" w:cs="Times New Roman"/>
          <w:sz w:val="32"/>
          <w:szCs w:val="32"/>
        </w:rPr>
        <w:t>篇，精准开展监测预警。政策协同效能凸显。落实国家和省部署，建立我市经济政策和非经济性政策与宏观政策取向一致性评估工作机制，确保打好政策</w:t>
      </w:r>
      <w:r>
        <w:rPr>
          <w:rFonts w:ascii="Times New Roman" w:hAnsi="Times New Roman" w:cs="Times New Roman"/>
          <w:sz w:val="32"/>
          <w:szCs w:val="32"/>
        </w:rPr>
        <w:t>“</w:t>
      </w:r>
      <w:r>
        <w:rPr>
          <w:rFonts w:ascii="Times New Roman" w:hAnsi="Times New Roman" w:cs="Times New Roman"/>
          <w:sz w:val="32"/>
          <w:szCs w:val="32"/>
        </w:rPr>
        <w:t>组合拳</w:t>
      </w:r>
      <w:r>
        <w:rPr>
          <w:rFonts w:ascii="Times New Roman" w:hAnsi="Times New Roman" w:cs="Times New Roman"/>
          <w:sz w:val="32"/>
          <w:szCs w:val="32"/>
        </w:rPr>
        <w:t>”</w:t>
      </w:r>
      <w:r>
        <w:rPr>
          <w:rFonts w:ascii="Times New Roman" w:hAnsi="Times New Roman" w:cs="Times New Roman"/>
          <w:sz w:val="32"/>
          <w:szCs w:val="32"/>
        </w:rPr>
        <w:t>、提高政策整体效能。用好国家</w:t>
      </w:r>
      <w:r>
        <w:rPr>
          <w:rFonts w:ascii="Times New Roman" w:hAnsi="Times New Roman" w:cs="Times New Roman"/>
          <w:sz w:val="32"/>
          <w:szCs w:val="32"/>
        </w:rPr>
        <w:t>“</w:t>
      </w:r>
      <w:r>
        <w:rPr>
          <w:rFonts w:ascii="Times New Roman" w:hAnsi="Times New Roman" w:cs="Times New Roman"/>
          <w:sz w:val="32"/>
          <w:szCs w:val="32"/>
        </w:rPr>
        <w:t>两重</w:t>
      </w:r>
      <w:r>
        <w:rPr>
          <w:rFonts w:ascii="Times New Roman" w:hAnsi="Times New Roman" w:cs="Times New Roman"/>
          <w:sz w:val="32"/>
          <w:szCs w:val="32"/>
        </w:rPr>
        <w:t>”“</w:t>
      </w:r>
      <w:r>
        <w:rPr>
          <w:rFonts w:ascii="Times New Roman" w:hAnsi="Times New Roman" w:cs="Times New Roman"/>
          <w:sz w:val="32"/>
          <w:szCs w:val="32"/>
        </w:rPr>
        <w:t>两新</w:t>
      </w:r>
      <w:r>
        <w:rPr>
          <w:rFonts w:ascii="Times New Roman" w:hAnsi="Times New Roman" w:cs="Times New Roman"/>
          <w:sz w:val="32"/>
          <w:szCs w:val="32"/>
        </w:rPr>
        <w:t>”</w:t>
      </w:r>
      <w:r>
        <w:rPr>
          <w:rFonts w:ascii="Times New Roman" w:hAnsi="Times New Roman" w:cs="Times New Roman"/>
          <w:sz w:val="32"/>
          <w:szCs w:val="32"/>
        </w:rPr>
        <w:t>政策，</w:t>
      </w:r>
      <w:r>
        <w:rPr>
          <w:rFonts w:ascii="Times New Roman" w:hAnsi="Times New Roman" w:cs="Times New Roman"/>
          <w:sz w:val="32"/>
          <w:szCs w:val="32"/>
        </w:rPr>
        <w:t>“</w:t>
      </w:r>
      <w:r>
        <w:rPr>
          <w:rFonts w:ascii="Times New Roman" w:hAnsi="Times New Roman" w:cs="Times New Roman"/>
          <w:sz w:val="32"/>
          <w:szCs w:val="32"/>
        </w:rPr>
        <w:t>两重</w:t>
      </w:r>
      <w:r>
        <w:rPr>
          <w:rFonts w:ascii="Times New Roman" w:hAnsi="Times New Roman" w:cs="Times New Roman"/>
          <w:sz w:val="32"/>
          <w:szCs w:val="32"/>
        </w:rPr>
        <w:t>”“</w:t>
      </w:r>
      <w:r>
        <w:rPr>
          <w:rFonts w:ascii="Times New Roman" w:hAnsi="Times New Roman" w:cs="Times New Roman"/>
          <w:sz w:val="32"/>
          <w:szCs w:val="32"/>
        </w:rPr>
        <w:t>两新</w:t>
      </w:r>
      <w:r>
        <w:rPr>
          <w:rFonts w:ascii="Times New Roman" w:hAnsi="Times New Roman" w:cs="Times New Roman"/>
          <w:sz w:val="32"/>
          <w:szCs w:val="32"/>
        </w:rPr>
        <w:t>”</w:t>
      </w:r>
      <w:r>
        <w:rPr>
          <w:rFonts w:ascii="Times New Roman" w:hAnsi="Times New Roman" w:cs="Times New Roman"/>
          <w:sz w:val="32"/>
          <w:szCs w:val="32"/>
        </w:rPr>
        <w:t>和专项</w:t>
      </w:r>
      <w:proofErr w:type="gramStart"/>
      <w:r>
        <w:rPr>
          <w:rFonts w:ascii="Times New Roman" w:hAnsi="Times New Roman" w:cs="Times New Roman"/>
          <w:sz w:val="32"/>
          <w:szCs w:val="32"/>
        </w:rPr>
        <w:t>债资金</w:t>
      </w:r>
      <w:proofErr w:type="gramEnd"/>
      <w:r>
        <w:rPr>
          <w:rFonts w:ascii="Times New Roman" w:hAnsi="Times New Roman" w:cs="Times New Roman"/>
          <w:sz w:val="32"/>
          <w:szCs w:val="32"/>
        </w:rPr>
        <w:t>规模和项目数量居全省前列。考核导向不断优化。聚焦短板指标、薄弱环节，严格落实为基层减负刚性要求，修订市对区高质量发展绩效评价考核指标体系，提升板块支撑贡献。以</w:t>
      </w:r>
      <w:r>
        <w:rPr>
          <w:rFonts w:ascii="Times New Roman" w:hAnsi="Times New Roman" w:cs="Times New Roman"/>
          <w:sz w:val="32"/>
          <w:szCs w:val="32"/>
        </w:rPr>
        <w:t>“</w:t>
      </w:r>
      <w:r>
        <w:rPr>
          <w:rFonts w:ascii="Times New Roman" w:hAnsi="Times New Roman" w:cs="Times New Roman"/>
          <w:sz w:val="32"/>
          <w:szCs w:val="32"/>
        </w:rPr>
        <w:t>市考保省考</w:t>
      </w:r>
      <w:r>
        <w:rPr>
          <w:rFonts w:ascii="Times New Roman" w:hAnsi="Times New Roman" w:cs="Times New Roman"/>
          <w:sz w:val="32"/>
          <w:szCs w:val="32"/>
        </w:rPr>
        <w:t>”</w:t>
      </w:r>
      <w:r>
        <w:rPr>
          <w:rFonts w:ascii="Times New Roman" w:hAnsi="Times New Roman" w:cs="Times New Roman"/>
          <w:sz w:val="32"/>
          <w:szCs w:val="32"/>
        </w:rPr>
        <w:t>，做好牵头指标年中评估、季度监测结果</w:t>
      </w:r>
      <w:proofErr w:type="gramStart"/>
      <w:r>
        <w:rPr>
          <w:rFonts w:ascii="Times New Roman" w:hAnsi="Times New Roman" w:cs="Times New Roman"/>
          <w:sz w:val="32"/>
          <w:szCs w:val="32"/>
        </w:rPr>
        <w:t>研</w:t>
      </w:r>
      <w:proofErr w:type="gramEnd"/>
      <w:r>
        <w:rPr>
          <w:rFonts w:ascii="Times New Roman" w:hAnsi="Times New Roman" w:cs="Times New Roman"/>
          <w:sz w:val="32"/>
          <w:szCs w:val="32"/>
        </w:rPr>
        <w:t>判分析，客观反映发展实绩，加大补缺补短力度。</w:t>
      </w:r>
    </w:p>
    <w:p w:rsidR="001A79DF" w:rsidRDefault="00E70674">
      <w:pPr>
        <w:spacing w:line="560" w:lineRule="exact"/>
        <w:ind w:firstLineChars="0" w:firstLine="0"/>
        <w:rPr>
          <w:sz w:val="32"/>
          <w:szCs w:val="32"/>
        </w:rPr>
      </w:pPr>
      <w:r>
        <w:rPr>
          <w:rFonts w:ascii="Times New Roman" w:eastAsia="方正楷体_GBK" w:hAnsi="Times New Roman" w:cs="Times New Roman" w:hint="eastAsia"/>
          <w:sz w:val="32"/>
          <w:szCs w:val="32"/>
        </w:rPr>
        <w:t xml:space="preserve">    </w:t>
      </w:r>
      <w:r>
        <w:rPr>
          <w:rFonts w:ascii="Times New Roman" w:eastAsia="方正楷体_GBK" w:hAnsi="Times New Roman" w:cs="Times New Roman" w:hint="eastAsia"/>
          <w:sz w:val="32"/>
          <w:szCs w:val="32"/>
        </w:rPr>
        <w:t>（二）推动</w:t>
      </w:r>
      <w:r>
        <w:rPr>
          <w:rFonts w:ascii="Times New Roman" w:eastAsia="方正楷体_GBK" w:hAnsi="Times New Roman" w:cs="Times New Roman"/>
          <w:sz w:val="32"/>
          <w:szCs w:val="32"/>
        </w:rPr>
        <w:t>项目投资提质增效。</w:t>
      </w:r>
      <w:r>
        <w:rPr>
          <w:rFonts w:ascii="Times New Roman" w:hAnsi="Times New Roman" w:cs="Times New Roman"/>
          <w:sz w:val="32"/>
          <w:szCs w:val="32"/>
        </w:rPr>
        <w:t>重大项目推进有力。建立市领导挂钩联系机制，市领导全年现场调度项目</w:t>
      </w:r>
      <w:r>
        <w:rPr>
          <w:rFonts w:ascii="Times New Roman" w:hAnsi="Times New Roman" w:cs="Times New Roman"/>
          <w:sz w:val="32"/>
          <w:szCs w:val="32"/>
        </w:rPr>
        <w:t>82</w:t>
      </w:r>
      <w:r>
        <w:rPr>
          <w:rFonts w:ascii="Times New Roman" w:hAnsi="Times New Roman" w:cs="Times New Roman"/>
          <w:sz w:val="32"/>
          <w:szCs w:val="32"/>
        </w:rPr>
        <w:t>次、协调事项</w:t>
      </w:r>
      <w:r>
        <w:rPr>
          <w:rFonts w:ascii="Times New Roman" w:hAnsi="Times New Roman" w:cs="Times New Roman"/>
          <w:sz w:val="32"/>
          <w:szCs w:val="32"/>
        </w:rPr>
        <w:t>106</w:t>
      </w:r>
      <w:r>
        <w:rPr>
          <w:rFonts w:ascii="Times New Roman" w:hAnsi="Times New Roman" w:cs="Times New Roman"/>
          <w:sz w:val="32"/>
          <w:szCs w:val="32"/>
        </w:rPr>
        <w:t>项。投资结构持续优化。强化固定资产投资调度，激发民间投资活力，依托平台发布向民间资本推介项目</w:t>
      </w:r>
      <w:r>
        <w:rPr>
          <w:rFonts w:ascii="Times New Roman" w:hAnsi="Times New Roman" w:cs="Times New Roman"/>
          <w:sz w:val="32"/>
          <w:szCs w:val="32"/>
        </w:rPr>
        <w:t>19</w:t>
      </w:r>
      <w:r>
        <w:rPr>
          <w:rFonts w:ascii="Times New Roman" w:hAnsi="Times New Roman" w:cs="Times New Roman"/>
          <w:sz w:val="32"/>
          <w:szCs w:val="32"/>
        </w:rPr>
        <w:t>个，推动</w:t>
      </w:r>
      <w:r>
        <w:rPr>
          <w:rFonts w:ascii="Times New Roman" w:hAnsi="Times New Roman" w:cs="Times New Roman" w:hint="eastAsia"/>
          <w:sz w:val="32"/>
          <w:szCs w:val="32"/>
        </w:rPr>
        <w:t>2</w:t>
      </w:r>
      <w:r>
        <w:rPr>
          <w:rFonts w:ascii="Times New Roman" w:hAnsi="Times New Roman" w:cs="Times New Roman" w:hint="eastAsia"/>
          <w:sz w:val="32"/>
          <w:szCs w:val="32"/>
        </w:rPr>
        <w:t>个</w:t>
      </w:r>
      <w:r>
        <w:rPr>
          <w:rFonts w:ascii="Times New Roman" w:hAnsi="Times New Roman" w:cs="Times New Roman"/>
          <w:sz w:val="32"/>
          <w:szCs w:val="32"/>
        </w:rPr>
        <w:t>项目入选</w:t>
      </w:r>
      <w:r>
        <w:rPr>
          <w:rFonts w:ascii="Times New Roman" w:hAnsi="Times New Roman" w:cs="Times New Roman"/>
          <w:sz w:val="32"/>
          <w:szCs w:val="32"/>
        </w:rPr>
        <w:t>2025</w:t>
      </w:r>
      <w:r>
        <w:rPr>
          <w:rFonts w:ascii="Times New Roman" w:hAnsi="Times New Roman" w:cs="Times New Roman"/>
          <w:sz w:val="32"/>
          <w:szCs w:val="32"/>
        </w:rPr>
        <w:t>年全国重点民间投资项目。投融资创新稳步推进。建立</w:t>
      </w:r>
      <w:r>
        <w:rPr>
          <w:rFonts w:ascii="Times New Roman" w:hAnsi="Times New Roman" w:cs="Times New Roman"/>
          <w:sz w:val="32"/>
          <w:szCs w:val="32"/>
        </w:rPr>
        <w:t>“1+5+N”</w:t>
      </w:r>
      <w:r>
        <w:rPr>
          <w:rFonts w:ascii="Times New Roman" w:hAnsi="Times New Roman" w:cs="Times New Roman"/>
          <w:sz w:val="32"/>
          <w:szCs w:val="32"/>
        </w:rPr>
        <w:t>政策性资金争取机制，</w:t>
      </w:r>
      <w:r>
        <w:rPr>
          <w:rFonts w:ascii="Times New Roman" w:hAnsi="Times New Roman" w:cs="Times New Roman"/>
          <w:sz w:val="32"/>
          <w:szCs w:val="32"/>
        </w:rPr>
        <w:lastRenderedPageBreak/>
        <w:t>常态</w:t>
      </w:r>
      <w:proofErr w:type="gramStart"/>
      <w:r>
        <w:rPr>
          <w:rFonts w:ascii="Times New Roman" w:hAnsi="Times New Roman" w:cs="Times New Roman"/>
          <w:sz w:val="32"/>
          <w:szCs w:val="32"/>
        </w:rPr>
        <w:t>化开展</w:t>
      </w:r>
      <w:proofErr w:type="gramEnd"/>
      <w:r>
        <w:rPr>
          <w:rFonts w:ascii="Times New Roman" w:hAnsi="Times New Roman" w:cs="Times New Roman"/>
          <w:sz w:val="32"/>
          <w:szCs w:val="32"/>
        </w:rPr>
        <w:t>REITs</w:t>
      </w:r>
      <w:r>
        <w:rPr>
          <w:rFonts w:ascii="Times New Roman" w:hAnsi="Times New Roman" w:cs="Times New Roman"/>
          <w:sz w:val="32"/>
          <w:szCs w:val="32"/>
        </w:rPr>
        <w:t>项目跟踪监测、指导服务和孵化培育，</w:t>
      </w:r>
      <w:r>
        <w:rPr>
          <w:rFonts w:ascii="Times New Roman" w:hAnsi="Times New Roman" w:cs="Times New Roman"/>
          <w:sz w:val="32"/>
          <w:szCs w:val="32"/>
        </w:rPr>
        <w:t>2</w:t>
      </w:r>
      <w:r>
        <w:rPr>
          <w:rFonts w:ascii="Times New Roman" w:hAnsi="Times New Roman" w:cs="Times New Roman"/>
          <w:sz w:val="32"/>
          <w:szCs w:val="32"/>
        </w:rPr>
        <w:t>个项目正式报送</w:t>
      </w:r>
      <w:proofErr w:type="gramStart"/>
      <w:r>
        <w:rPr>
          <w:rFonts w:ascii="Times New Roman" w:hAnsi="Times New Roman" w:cs="Times New Roman"/>
          <w:sz w:val="32"/>
          <w:szCs w:val="32"/>
        </w:rPr>
        <w:t>国家发改委</w:t>
      </w:r>
      <w:proofErr w:type="gramEnd"/>
      <w:r>
        <w:rPr>
          <w:rFonts w:ascii="Times New Roman" w:hAnsi="Times New Roman" w:cs="Times New Roman"/>
          <w:sz w:val="32"/>
          <w:szCs w:val="32"/>
        </w:rPr>
        <w:t>。发挥产业基金带动作用。推动建立完善</w:t>
      </w:r>
      <w:r>
        <w:rPr>
          <w:rFonts w:ascii="Times New Roman" w:hAnsi="Times New Roman" w:cs="Times New Roman"/>
          <w:sz w:val="32"/>
          <w:szCs w:val="32"/>
        </w:rPr>
        <w:t>“4+N”</w:t>
      </w:r>
      <w:r>
        <w:rPr>
          <w:rFonts w:ascii="Times New Roman" w:hAnsi="Times New Roman" w:cs="Times New Roman"/>
          <w:sz w:val="32"/>
          <w:szCs w:val="32"/>
        </w:rPr>
        <w:t>产业基金集群工作联动机制，已完成</w:t>
      </w:r>
      <w:r>
        <w:rPr>
          <w:rFonts w:ascii="Times New Roman" w:hAnsi="Times New Roman" w:cs="Times New Roman"/>
          <w:sz w:val="32"/>
          <w:szCs w:val="32"/>
        </w:rPr>
        <w:t>27</w:t>
      </w:r>
      <w:r>
        <w:rPr>
          <w:rFonts w:ascii="Times New Roman" w:hAnsi="Times New Roman" w:cs="Times New Roman"/>
          <w:sz w:val="32"/>
          <w:szCs w:val="32"/>
        </w:rPr>
        <w:t>只基金组建，为产业加速发展注入资本动力。</w:t>
      </w:r>
    </w:p>
    <w:p w:rsidR="001A79DF" w:rsidRDefault="00E70674">
      <w:pPr>
        <w:spacing w:line="560" w:lineRule="exact"/>
        <w:ind w:firstLineChars="0" w:firstLine="0"/>
        <w:rPr>
          <w:rFonts w:ascii="Times New Roman" w:hAnsi="Times New Roman" w:cs="Times New Roman"/>
          <w:sz w:val="32"/>
          <w:szCs w:val="32"/>
        </w:rPr>
      </w:pPr>
      <w:r>
        <w:rPr>
          <w:rFonts w:ascii="Times New Roman" w:eastAsia="方正楷体_GBK" w:hAnsi="Times New Roman" w:cs="Times New Roman" w:hint="eastAsia"/>
          <w:sz w:val="32"/>
          <w:szCs w:val="32"/>
        </w:rPr>
        <w:t xml:space="preserve">    </w:t>
      </w:r>
      <w:r>
        <w:rPr>
          <w:rFonts w:ascii="Times New Roman" w:eastAsia="方正楷体_GBK" w:hAnsi="Times New Roman" w:cs="Times New Roman" w:hint="eastAsia"/>
          <w:sz w:val="32"/>
          <w:szCs w:val="32"/>
        </w:rPr>
        <w:t>（三）驱动</w:t>
      </w:r>
      <w:r>
        <w:rPr>
          <w:rFonts w:ascii="Times New Roman" w:eastAsia="方正楷体_GBK" w:hAnsi="Times New Roman" w:cs="Times New Roman"/>
          <w:sz w:val="32"/>
          <w:szCs w:val="32"/>
        </w:rPr>
        <w:t>产业转型纵深推进。</w:t>
      </w:r>
      <w:r>
        <w:rPr>
          <w:rFonts w:ascii="Times New Roman" w:hAnsi="Times New Roman" w:cs="Times New Roman"/>
          <w:sz w:val="32"/>
          <w:szCs w:val="32"/>
        </w:rPr>
        <w:t>创新生态不断完善。全力支持南京大学重大科技基础设施、紫金山实验室</w:t>
      </w:r>
      <w:r>
        <w:rPr>
          <w:rFonts w:ascii="Times New Roman" w:hAnsi="Times New Roman" w:cs="Times New Roman" w:hint="eastAsia"/>
          <w:sz w:val="32"/>
          <w:szCs w:val="32"/>
        </w:rPr>
        <w:t>重要</w:t>
      </w:r>
      <w:r>
        <w:rPr>
          <w:rFonts w:ascii="Times New Roman" w:hAnsi="Times New Roman" w:cs="Times New Roman"/>
          <w:sz w:val="32"/>
          <w:szCs w:val="32"/>
        </w:rPr>
        <w:t>试验设施申报</w:t>
      </w:r>
      <w:r>
        <w:rPr>
          <w:rFonts w:ascii="Times New Roman" w:hAnsi="Times New Roman" w:cs="Times New Roman"/>
          <w:sz w:val="32"/>
          <w:szCs w:val="32"/>
        </w:rPr>
        <w:t>“</w:t>
      </w:r>
      <w:r>
        <w:rPr>
          <w:rFonts w:ascii="Times New Roman" w:hAnsi="Times New Roman" w:cs="Times New Roman"/>
          <w:sz w:val="32"/>
          <w:szCs w:val="32"/>
        </w:rPr>
        <w:t>十五五</w:t>
      </w:r>
      <w:r>
        <w:rPr>
          <w:rFonts w:ascii="Times New Roman" w:hAnsi="Times New Roman" w:cs="Times New Roman"/>
          <w:sz w:val="32"/>
          <w:szCs w:val="32"/>
        </w:rPr>
        <w:t>”</w:t>
      </w:r>
      <w:r>
        <w:rPr>
          <w:rFonts w:ascii="Times New Roman" w:hAnsi="Times New Roman" w:cs="Times New Roman"/>
          <w:sz w:val="32"/>
          <w:szCs w:val="32"/>
        </w:rPr>
        <w:t>国家重大科技基础设施。印发独角兽、瞪</w:t>
      </w:r>
      <w:proofErr w:type="gramStart"/>
      <w:r>
        <w:rPr>
          <w:rFonts w:ascii="Times New Roman" w:hAnsi="Times New Roman" w:cs="Times New Roman"/>
          <w:sz w:val="32"/>
          <w:szCs w:val="32"/>
        </w:rPr>
        <w:t>羚</w:t>
      </w:r>
      <w:proofErr w:type="gramEnd"/>
      <w:r>
        <w:rPr>
          <w:rFonts w:ascii="Times New Roman" w:hAnsi="Times New Roman" w:cs="Times New Roman"/>
          <w:sz w:val="32"/>
          <w:szCs w:val="32"/>
        </w:rPr>
        <w:t>企业培育政策，开展系列投融资对接活动，全市独角兽企业达</w:t>
      </w:r>
      <w:r>
        <w:rPr>
          <w:rFonts w:ascii="Times New Roman" w:hAnsi="Times New Roman" w:cs="Times New Roman"/>
          <w:sz w:val="32"/>
          <w:szCs w:val="32"/>
        </w:rPr>
        <w:t>20</w:t>
      </w:r>
      <w:r>
        <w:rPr>
          <w:rFonts w:ascii="Times New Roman" w:hAnsi="Times New Roman" w:cs="Times New Roman"/>
          <w:sz w:val="32"/>
          <w:szCs w:val="32"/>
        </w:rPr>
        <w:t>家、培育独角兽</w:t>
      </w:r>
      <w:r>
        <w:rPr>
          <w:rFonts w:ascii="Times New Roman" w:hAnsi="Times New Roman" w:cs="Times New Roman"/>
          <w:sz w:val="32"/>
          <w:szCs w:val="32"/>
        </w:rPr>
        <w:t>195</w:t>
      </w:r>
      <w:r>
        <w:rPr>
          <w:rFonts w:ascii="Times New Roman" w:hAnsi="Times New Roman" w:cs="Times New Roman"/>
          <w:sz w:val="32"/>
          <w:szCs w:val="32"/>
        </w:rPr>
        <w:t>家、瞪</w:t>
      </w:r>
      <w:proofErr w:type="gramStart"/>
      <w:r>
        <w:rPr>
          <w:rFonts w:ascii="Times New Roman" w:hAnsi="Times New Roman" w:cs="Times New Roman"/>
          <w:sz w:val="32"/>
          <w:szCs w:val="32"/>
        </w:rPr>
        <w:t>羚</w:t>
      </w:r>
      <w:proofErr w:type="gramEnd"/>
      <w:r>
        <w:rPr>
          <w:rFonts w:ascii="Times New Roman" w:hAnsi="Times New Roman" w:cs="Times New Roman"/>
          <w:sz w:val="32"/>
          <w:szCs w:val="32"/>
        </w:rPr>
        <w:t>企业</w:t>
      </w:r>
      <w:r>
        <w:rPr>
          <w:rFonts w:ascii="Times New Roman" w:hAnsi="Times New Roman" w:cs="Times New Roman"/>
          <w:sz w:val="32"/>
          <w:szCs w:val="32"/>
        </w:rPr>
        <w:t>450</w:t>
      </w:r>
      <w:r>
        <w:rPr>
          <w:rFonts w:ascii="Times New Roman" w:hAnsi="Times New Roman" w:cs="Times New Roman"/>
          <w:sz w:val="32"/>
          <w:szCs w:val="32"/>
        </w:rPr>
        <w:t>家。产业能级持续提升。加速石化产业链式延伸发展，推荐扬子石化绿色低碳升级项目、技术升级重构及下游新材料一体化项目和金陵石化绿色低碳转型升级项目申报纳入新一轮国家布局方案。</w:t>
      </w:r>
      <w:proofErr w:type="gramStart"/>
      <w:r>
        <w:rPr>
          <w:rFonts w:ascii="Times New Roman" w:hAnsi="Times New Roman" w:cs="Times New Roman"/>
          <w:sz w:val="32"/>
          <w:szCs w:val="32"/>
        </w:rPr>
        <w:t>低空经济</w:t>
      </w:r>
      <w:proofErr w:type="gramEnd"/>
      <w:r>
        <w:rPr>
          <w:rFonts w:ascii="Times New Roman" w:hAnsi="Times New Roman" w:cs="Times New Roman"/>
          <w:sz w:val="32"/>
          <w:szCs w:val="32"/>
        </w:rPr>
        <w:t>集聚企业</w:t>
      </w:r>
      <w:r>
        <w:rPr>
          <w:rFonts w:ascii="Times New Roman" w:hAnsi="Times New Roman" w:cs="Times New Roman"/>
          <w:sz w:val="32"/>
          <w:szCs w:val="32"/>
        </w:rPr>
        <w:t>260</w:t>
      </w:r>
      <w:r>
        <w:rPr>
          <w:rFonts w:ascii="Times New Roman" w:hAnsi="Times New Roman" w:cs="Times New Roman"/>
          <w:sz w:val="32"/>
          <w:szCs w:val="32"/>
        </w:rPr>
        <w:t>余家，</w:t>
      </w:r>
      <w:r>
        <w:rPr>
          <w:rFonts w:ascii="Times New Roman" w:hAnsi="Times New Roman" w:cs="Times New Roman"/>
          <w:sz w:val="32"/>
          <w:szCs w:val="32"/>
        </w:rPr>
        <w:t>32</w:t>
      </w:r>
      <w:r>
        <w:rPr>
          <w:rFonts w:ascii="Times New Roman" w:hAnsi="Times New Roman" w:cs="Times New Roman"/>
          <w:sz w:val="32"/>
          <w:szCs w:val="32"/>
        </w:rPr>
        <w:t>家为国家级专精特新小巨人企业。服务业赋能提质。出台《生产性服务业高质量发展行动方案（</w:t>
      </w:r>
      <w:r>
        <w:rPr>
          <w:rFonts w:ascii="Times New Roman" w:hAnsi="Times New Roman" w:cs="Times New Roman"/>
          <w:sz w:val="32"/>
          <w:szCs w:val="32"/>
        </w:rPr>
        <w:t>2025—2027</w:t>
      </w:r>
      <w:r>
        <w:rPr>
          <w:rFonts w:ascii="Times New Roman" w:hAnsi="Times New Roman" w:cs="Times New Roman"/>
          <w:sz w:val="32"/>
          <w:szCs w:val="32"/>
        </w:rPr>
        <w:t>年）》，深化</w:t>
      </w:r>
      <w:r>
        <w:rPr>
          <w:rFonts w:ascii="Times New Roman" w:hAnsi="Times New Roman" w:cs="Times New Roman"/>
          <w:sz w:val="32"/>
          <w:szCs w:val="32"/>
        </w:rPr>
        <w:t>“</w:t>
      </w:r>
      <w:r>
        <w:rPr>
          <w:rFonts w:ascii="Times New Roman" w:hAnsi="Times New Roman" w:cs="Times New Roman"/>
          <w:sz w:val="32"/>
          <w:szCs w:val="32"/>
        </w:rPr>
        <w:t>两业</w:t>
      </w:r>
      <w:r>
        <w:rPr>
          <w:rFonts w:ascii="Times New Roman" w:hAnsi="Times New Roman" w:cs="Times New Roman"/>
          <w:sz w:val="32"/>
          <w:szCs w:val="32"/>
        </w:rPr>
        <w:t>”</w:t>
      </w:r>
      <w:r>
        <w:rPr>
          <w:rFonts w:ascii="Times New Roman" w:hAnsi="Times New Roman" w:cs="Times New Roman"/>
          <w:sz w:val="32"/>
          <w:szCs w:val="32"/>
        </w:rPr>
        <w:t>融合发展。成功申报陆港型国家物流枢纽，制定降低全社会物流成本举措。开展重点领域和全国头部平台靶向招引印发实施支持总部经济高质量发展若干措施，梳理建立总部企业</w:t>
      </w:r>
      <w:proofErr w:type="gramStart"/>
      <w:r>
        <w:rPr>
          <w:rFonts w:ascii="Times New Roman" w:hAnsi="Times New Roman" w:cs="Times New Roman"/>
          <w:sz w:val="32"/>
          <w:szCs w:val="32"/>
        </w:rPr>
        <w:t>培育库并开展</w:t>
      </w:r>
      <w:proofErr w:type="gramEnd"/>
      <w:r>
        <w:rPr>
          <w:rFonts w:ascii="Times New Roman" w:hAnsi="Times New Roman" w:cs="Times New Roman"/>
          <w:sz w:val="32"/>
          <w:szCs w:val="32"/>
        </w:rPr>
        <w:t>申报认定。</w:t>
      </w:r>
    </w:p>
    <w:p w:rsidR="001A79DF" w:rsidRDefault="00E70674">
      <w:pPr>
        <w:spacing w:line="560" w:lineRule="exact"/>
        <w:ind w:firstLineChars="0" w:firstLine="0"/>
        <w:rPr>
          <w:rFonts w:ascii="Times New Roman" w:hAnsi="Times New Roman" w:cs="Times New Roman"/>
          <w:sz w:val="32"/>
          <w:szCs w:val="32"/>
        </w:rPr>
      </w:pPr>
      <w:r>
        <w:rPr>
          <w:rFonts w:ascii="Times New Roman" w:eastAsia="方正楷体_GBK" w:hAnsi="Times New Roman" w:cs="Times New Roman" w:hint="eastAsia"/>
          <w:sz w:val="32"/>
          <w:szCs w:val="32"/>
        </w:rPr>
        <w:t xml:space="preserve">    </w:t>
      </w:r>
      <w:r>
        <w:rPr>
          <w:rFonts w:ascii="Times New Roman" w:eastAsia="方正楷体_GBK" w:hAnsi="Times New Roman" w:cs="Times New Roman" w:hint="eastAsia"/>
          <w:sz w:val="32"/>
          <w:szCs w:val="32"/>
        </w:rPr>
        <w:t>（四）推进</w:t>
      </w:r>
      <w:r>
        <w:rPr>
          <w:rFonts w:ascii="Times New Roman" w:eastAsia="方正楷体_GBK" w:hAnsi="Times New Roman" w:cs="Times New Roman"/>
          <w:sz w:val="32"/>
          <w:szCs w:val="32"/>
        </w:rPr>
        <w:t>改革开放纵深突破。</w:t>
      </w:r>
      <w:r>
        <w:rPr>
          <w:rFonts w:ascii="Times New Roman" w:hAnsi="Times New Roman" w:cs="Times New Roman"/>
          <w:sz w:val="32"/>
          <w:szCs w:val="32"/>
        </w:rPr>
        <w:t>重点改革落地见效。制定服务全国统一大市场</w:t>
      </w:r>
      <w:r>
        <w:rPr>
          <w:rFonts w:ascii="Times New Roman" w:hAnsi="Times New Roman" w:cs="Times New Roman"/>
          <w:sz w:val="32"/>
          <w:szCs w:val="32"/>
        </w:rPr>
        <w:t>2025</w:t>
      </w:r>
      <w:r>
        <w:rPr>
          <w:rFonts w:ascii="Times New Roman" w:hAnsi="Times New Roman" w:cs="Times New Roman"/>
          <w:sz w:val="32"/>
          <w:szCs w:val="32"/>
        </w:rPr>
        <w:t>年任务清单，起草要素市场化配置综合改革试点两年行动方案，印发</w:t>
      </w:r>
      <w:proofErr w:type="gramStart"/>
      <w:r>
        <w:rPr>
          <w:rFonts w:ascii="Times New Roman" w:hAnsi="Times New Roman" w:cs="Times New Roman"/>
          <w:sz w:val="32"/>
          <w:szCs w:val="32"/>
        </w:rPr>
        <w:t>深化市域协调</w:t>
      </w:r>
      <w:proofErr w:type="gramEnd"/>
      <w:r>
        <w:rPr>
          <w:rFonts w:ascii="Times New Roman" w:hAnsi="Times New Roman" w:cs="Times New Roman"/>
          <w:sz w:val="32"/>
          <w:szCs w:val="32"/>
        </w:rPr>
        <w:t>联动发展若干举措。开展市场准入壁垒清理，在市级层面和江北新区探索开展市场准入效能评估工作，着力为各类经营主体营</w:t>
      </w:r>
      <w:r>
        <w:rPr>
          <w:rFonts w:ascii="Times New Roman" w:hAnsi="Times New Roman" w:cs="Times New Roman"/>
          <w:sz w:val="32"/>
          <w:szCs w:val="32"/>
        </w:rPr>
        <w:lastRenderedPageBreak/>
        <w:t>造公平的市场准入环境。牵头规范全市招商引资各类补贴政策，推动</w:t>
      </w:r>
      <w:r>
        <w:rPr>
          <w:rFonts w:ascii="Times New Roman" w:hAnsi="Times New Roman" w:cs="Times New Roman"/>
          <w:sz w:val="32"/>
          <w:szCs w:val="32"/>
        </w:rPr>
        <w:t>24</w:t>
      </w:r>
      <w:r>
        <w:rPr>
          <w:rFonts w:ascii="Times New Roman" w:hAnsi="Times New Roman" w:cs="Times New Roman"/>
          <w:sz w:val="32"/>
          <w:szCs w:val="32"/>
        </w:rPr>
        <w:t>份政策终止实施、</w:t>
      </w:r>
      <w:r>
        <w:rPr>
          <w:rFonts w:ascii="Times New Roman" w:hAnsi="Times New Roman" w:cs="Times New Roman"/>
          <w:sz w:val="32"/>
          <w:szCs w:val="32"/>
        </w:rPr>
        <w:t>5</w:t>
      </w:r>
      <w:r>
        <w:rPr>
          <w:rFonts w:ascii="Times New Roman" w:hAnsi="Times New Roman" w:cs="Times New Roman"/>
          <w:sz w:val="32"/>
          <w:szCs w:val="32"/>
        </w:rPr>
        <w:t>份政策进行修订。营商环境持续优化。召开全市深化作风建设优化营商环境大会，印发年度工作要点，发布</w:t>
      </w:r>
      <w:r>
        <w:rPr>
          <w:rFonts w:ascii="Times New Roman" w:hAnsi="Times New Roman" w:cs="Times New Roman"/>
          <w:sz w:val="32"/>
          <w:szCs w:val="32"/>
        </w:rPr>
        <w:t>54</w:t>
      </w:r>
      <w:r>
        <w:rPr>
          <w:rFonts w:ascii="Times New Roman" w:hAnsi="Times New Roman" w:cs="Times New Roman"/>
          <w:sz w:val="32"/>
          <w:szCs w:val="32"/>
        </w:rPr>
        <w:t>个创新应用场景。推动落实《民营经济促进法》，开展专题宣讲和普法学习，建立常态化政企沟通机制。信用体系不断健全。承办全国社会信用体系建设成果总观摩会并获评</w:t>
      </w:r>
      <w:r>
        <w:rPr>
          <w:rFonts w:ascii="Times New Roman" w:hAnsi="Times New Roman" w:cs="Times New Roman"/>
          <w:sz w:val="32"/>
          <w:szCs w:val="32"/>
        </w:rPr>
        <w:t>“</w:t>
      </w:r>
      <w:r>
        <w:rPr>
          <w:rFonts w:ascii="Times New Roman" w:hAnsi="Times New Roman" w:cs="Times New Roman"/>
          <w:sz w:val="32"/>
          <w:szCs w:val="32"/>
        </w:rPr>
        <w:t>创新单位</w:t>
      </w:r>
      <w:r>
        <w:rPr>
          <w:rFonts w:ascii="Times New Roman" w:hAnsi="Times New Roman" w:cs="Times New Roman"/>
          <w:sz w:val="32"/>
          <w:szCs w:val="32"/>
        </w:rPr>
        <w:t>”</w:t>
      </w:r>
      <w:r>
        <w:rPr>
          <w:rFonts w:ascii="Times New Roman" w:hAnsi="Times New Roman" w:cs="Times New Roman"/>
          <w:sz w:val="32"/>
          <w:szCs w:val="32"/>
        </w:rPr>
        <w:t>。编制信用</w:t>
      </w:r>
      <w:r>
        <w:rPr>
          <w:rFonts w:ascii="Times New Roman" w:hAnsi="Times New Roman" w:cs="Times New Roman"/>
          <w:sz w:val="32"/>
          <w:szCs w:val="32"/>
        </w:rPr>
        <w:t>“</w:t>
      </w:r>
      <w:proofErr w:type="gramStart"/>
      <w:r>
        <w:rPr>
          <w:rFonts w:ascii="Times New Roman" w:hAnsi="Times New Roman" w:cs="Times New Roman"/>
          <w:sz w:val="32"/>
          <w:szCs w:val="32"/>
        </w:rPr>
        <w:t>一</w:t>
      </w:r>
      <w:proofErr w:type="gramEnd"/>
      <w:r>
        <w:rPr>
          <w:rFonts w:ascii="Times New Roman" w:hAnsi="Times New Roman" w:cs="Times New Roman"/>
          <w:sz w:val="32"/>
          <w:szCs w:val="32"/>
        </w:rPr>
        <w:t>目录四清单</w:t>
      </w:r>
      <w:r>
        <w:rPr>
          <w:rFonts w:ascii="Times New Roman" w:hAnsi="Times New Roman" w:cs="Times New Roman"/>
          <w:sz w:val="32"/>
          <w:szCs w:val="32"/>
        </w:rPr>
        <w:t>”</w:t>
      </w:r>
      <w:r>
        <w:rPr>
          <w:rFonts w:ascii="Times New Roman" w:hAnsi="Times New Roman" w:cs="Times New Roman"/>
          <w:sz w:val="32"/>
          <w:szCs w:val="32"/>
        </w:rPr>
        <w:t>，市公共信用信息平台累计归集信息</w:t>
      </w:r>
      <w:r>
        <w:rPr>
          <w:rFonts w:ascii="Times New Roman" w:hAnsi="Times New Roman" w:cs="Times New Roman"/>
          <w:sz w:val="32"/>
          <w:szCs w:val="32"/>
        </w:rPr>
        <w:t>30</w:t>
      </w:r>
      <w:r>
        <w:rPr>
          <w:rFonts w:ascii="Times New Roman" w:hAnsi="Times New Roman" w:cs="Times New Roman"/>
          <w:sz w:val="32"/>
          <w:szCs w:val="32"/>
        </w:rPr>
        <w:t>亿条。推进信用分级分类监管，深化</w:t>
      </w:r>
      <w:r>
        <w:rPr>
          <w:rFonts w:ascii="Times New Roman" w:hAnsi="Times New Roman" w:cs="Times New Roman"/>
          <w:sz w:val="32"/>
          <w:szCs w:val="32"/>
        </w:rPr>
        <w:t>“</w:t>
      </w:r>
      <w:r>
        <w:rPr>
          <w:rFonts w:ascii="Times New Roman" w:hAnsi="Times New Roman" w:cs="Times New Roman"/>
          <w:sz w:val="32"/>
          <w:szCs w:val="32"/>
        </w:rPr>
        <w:t>信易贷</w:t>
      </w:r>
      <w:r>
        <w:rPr>
          <w:rFonts w:ascii="Times New Roman" w:hAnsi="Times New Roman" w:cs="Times New Roman"/>
          <w:sz w:val="32"/>
          <w:szCs w:val="32"/>
        </w:rPr>
        <w:t>”</w:t>
      </w:r>
      <w:r>
        <w:rPr>
          <w:rFonts w:ascii="Times New Roman" w:hAnsi="Times New Roman" w:cs="Times New Roman"/>
          <w:sz w:val="32"/>
          <w:szCs w:val="32"/>
        </w:rPr>
        <w:t>，推广</w:t>
      </w:r>
      <w:r>
        <w:rPr>
          <w:rFonts w:ascii="Times New Roman" w:hAnsi="Times New Roman" w:cs="Times New Roman"/>
          <w:sz w:val="32"/>
          <w:szCs w:val="32"/>
        </w:rPr>
        <w:t>“</w:t>
      </w:r>
      <w:r>
        <w:rPr>
          <w:rFonts w:ascii="Times New Roman" w:hAnsi="Times New Roman" w:cs="Times New Roman"/>
          <w:sz w:val="32"/>
          <w:szCs w:val="32"/>
        </w:rPr>
        <w:t>不见面修复</w:t>
      </w:r>
      <w:r>
        <w:rPr>
          <w:rFonts w:ascii="Times New Roman" w:hAnsi="Times New Roman" w:cs="Times New Roman"/>
          <w:sz w:val="32"/>
          <w:szCs w:val="32"/>
        </w:rPr>
        <w:t>”</w:t>
      </w:r>
      <w:r>
        <w:rPr>
          <w:rFonts w:ascii="Times New Roman" w:hAnsi="Times New Roman" w:cs="Times New Roman"/>
          <w:sz w:val="32"/>
          <w:szCs w:val="32"/>
        </w:rPr>
        <w:t>，</w:t>
      </w:r>
      <w:r>
        <w:rPr>
          <w:rFonts w:ascii="Times New Roman" w:hAnsi="Times New Roman" w:cs="Times New Roman"/>
          <w:sz w:val="32"/>
          <w:szCs w:val="32"/>
        </w:rPr>
        <w:t>7873</w:t>
      </w:r>
      <w:r>
        <w:rPr>
          <w:rFonts w:ascii="Times New Roman" w:hAnsi="Times New Roman" w:cs="Times New Roman"/>
          <w:sz w:val="32"/>
          <w:szCs w:val="32"/>
        </w:rPr>
        <w:t>家企业完成修复</w:t>
      </w:r>
      <w:r>
        <w:rPr>
          <w:rFonts w:ascii="Times New Roman" w:hAnsi="Times New Roman" w:cs="Times New Roman"/>
          <w:sz w:val="32"/>
          <w:szCs w:val="32"/>
        </w:rPr>
        <w:t>9606</w:t>
      </w:r>
      <w:r>
        <w:rPr>
          <w:rFonts w:ascii="Times New Roman" w:hAnsi="Times New Roman" w:cs="Times New Roman"/>
          <w:sz w:val="32"/>
          <w:szCs w:val="32"/>
        </w:rPr>
        <w:t>条。有序盘活存量资产资源</w:t>
      </w:r>
      <w:r>
        <w:rPr>
          <w:rFonts w:ascii="Times New Roman" w:hAnsi="Times New Roman" w:cs="Times New Roman" w:hint="eastAsia"/>
          <w:sz w:val="32"/>
          <w:szCs w:val="32"/>
        </w:rPr>
        <w:t>，</w:t>
      </w:r>
      <w:r>
        <w:rPr>
          <w:rFonts w:ascii="Times New Roman" w:hAnsi="Times New Roman" w:cs="Times New Roman"/>
          <w:sz w:val="32"/>
          <w:szCs w:val="32"/>
        </w:rPr>
        <w:t>印发实施全市盘存年度工作要点，市区联动累计盘活项目</w:t>
      </w:r>
      <w:r>
        <w:rPr>
          <w:rFonts w:ascii="Times New Roman" w:hAnsi="Times New Roman" w:cs="Times New Roman"/>
          <w:sz w:val="32"/>
          <w:szCs w:val="32"/>
        </w:rPr>
        <w:t>337</w:t>
      </w:r>
      <w:r>
        <w:rPr>
          <w:rFonts w:ascii="Times New Roman" w:hAnsi="Times New Roman" w:cs="Times New Roman"/>
          <w:sz w:val="32"/>
          <w:szCs w:val="32"/>
        </w:rPr>
        <w:t>个，涉及房产</w:t>
      </w:r>
      <w:r>
        <w:rPr>
          <w:rFonts w:ascii="Times New Roman" w:hAnsi="Times New Roman" w:cs="Times New Roman"/>
          <w:sz w:val="32"/>
          <w:szCs w:val="32"/>
        </w:rPr>
        <w:t>143.96</w:t>
      </w:r>
      <w:r>
        <w:rPr>
          <w:rFonts w:ascii="Times New Roman" w:hAnsi="Times New Roman" w:cs="Times New Roman"/>
          <w:sz w:val="32"/>
          <w:szCs w:val="32"/>
        </w:rPr>
        <w:t>万平方米、土地</w:t>
      </w:r>
      <w:r>
        <w:rPr>
          <w:rFonts w:ascii="Times New Roman" w:hAnsi="Times New Roman" w:cs="Times New Roman"/>
          <w:sz w:val="32"/>
          <w:szCs w:val="32"/>
        </w:rPr>
        <w:t>1.01</w:t>
      </w:r>
      <w:r>
        <w:rPr>
          <w:rFonts w:ascii="Times New Roman" w:hAnsi="Times New Roman" w:cs="Times New Roman"/>
          <w:sz w:val="32"/>
          <w:szCs w:val="32"/>
        </w:rPr>
        <w:t>万亩。</w:t>
      </w:r>
    </w:p>
    <w:p w:rsidR="001A79DF" w:rsidRDefault="00E70674">
      <w:pPr>
        <w:spacing w:line="560" w:lineRule="exact"/>
        <w:ind w:firstLine="640"/>
        <w:rPr>
          <w:rFonts w:ascii="Times New Roman" w:hAnsi="Times New Roman" w:cs="Times New Roman"/>
          <w:sz w:val="32"/>
          <w:szCs w:val="32"/>
        </w:rPr>
      </w:pPr>
      <w:r>
        <w:rPr>
          <w:rFonts w:ascii="Times New Roman" w:eastAsia="方正楷体_GBK" w:hAnsi="Times New Roman" w:cs="Times New Roman"/>
          <w:sz w:val="32"/>
          <w:szCs w:val="32"/>
        </w:rPr>
        <w:t>（五）</w:t>
      </w:r>
      <w:r>
        <w:rPr>
          <w:rFonts w:ascii="Times New Roman" w:eastAsia="方正楷体_GBK" w:hAnsi="Times New Roman" w:cs="Times New Roman" w:hint="eastAsia"/>
          <w:sz w:val="32"/>
          <w:szCs w:val="32"/>
        </w:rPr>
        <w:t>高效落实国家重大</w:t>
      </w:r>
      <w:r>
        <w:rPr>
          <w:rFonts w:ascii="Times New Roman" w:eastAsia="方正楷体_GBK" w:hAnsi="Times New Roman" w:cs="Times New Roman"/>
          <w:sz w:val="32"/>
          <w:szCs w:val="32"/>
        </w:rPr>
        <w:t>战略</w:t>
      </w:r>
      <w:r>
        <w:rPr>
          <w:rFonts w:ascii="Times New Roman" w:hAnsi="Times New Roman" w:cs="Times New Roman"/>
          <w:sz w:val="32"/>
          <w:szCs w:val="32"/>
        </w:rPr>
        <w:t>。深度参与</w:t>
      </w:r>
      <w:r>
        <w:rPr>
          <w:rFonts w:ascii="Times New Roman" w:hAnsi="Times New Roman" w:cs="Times New Roman"/>
          <w:sz w:val="32"/>
          <w:szCs w:val="32"/>
        </w:rPr>
        <w:t>“</w:t>
      </w:r>
      <w:r>
        <w:rPr>
          <w:rFonts w:ascii="Times New Roman" w:hAnsi="Times New Roman" w:cs="Times New Roman"/>
          <w:sz w:val="32"/>
          <w:szCs w:val="32"/>
        </w:rPr>
        <w:t>一带一路</w:t>
      </w:r>
      <w:r>
        <w:rPr>
          <w:rFonts w:ascii="Times New Roman" w:hAnsi="Times New Roman" w:cs="Times New Roman"/>
          <w:sz w:val="32"/>
          <w:szCs w:val="32"/>
        </w:rPr>
        <w:t>”</w:t>
      </w:r>
      <w:r>
        <w:rPr>
          <w:rFonts w:ascii="Times New Roman" w:hAnsi="Times New Roman" w:cs="Times New Roman"/>
          <w:sz w:val="32"/>
          <w:szCs w:val="32"/>
        </w:rPr>
        <w:t>建设。印发《南京市高质量推进</w:t>
      </w:r>
      <w:r>
        <w:rPr>
          <w:rFonts w:ascii="Times New Roman" w:hAnsi="Times New Roman" w:cs="Times New Roman"/>
          <w:sz w:val="32"/>
          <w:szCs w:val="32"/>
        </w:rPr>
        <w:t>“</w:t>
      </w:r>
      <w:r>
        <w:rPr>
          <w:rFonts w:ascii="Times New Roman" w:hAnsi="Times New Roman" w:cs="Times New Roman"/>
          <w:sz w:val="32"/>
          <w:szCs w:val="32"/>
        </w:rPr>
        <w:t>一带一路</w:t>
      </w:r>
      <w:r>
        <w:rPr>
          <w:rFonts w:ascii="Times New Roman" w:hAnsi="Times New Roman" w:cs="Times New Roman"/>
          <w:sz w:val="32"/>
          <w:szCs w:val="32"/>
        </w:rPr>
        <w:t>”</w:t>
      </w:r>
      <w:r>
        <w:rPr>
          <w:rFonts w:ascii="Times New Roman" w:hAnsi="Times New Roman" w:cs="Times New Roman"/>
          <w:sz w:val="32"/>
          <w:szCs w:val="32"/>
        </w:rPr>
        <w:t>交汇点重要枢纽城市建设</w:t>
      </w:r>
      <w:r>
        <w:rPr>
          <w:rFonts w:ascii="Times New Roman" w:hAnsi="Times New Roman" w:cs="Times New Roman"/>
          <w:sz w:val="32"/>
          <w:szCs w:val="32"/>
        </w:rPr>
        <w:t>2025</w:t>
      </w:r>
      <w:r>
        <w:rPr>
          <w:rFonts w:ascii="Times New Roman" w:hAnsi="Times New Roman" w:cs="Times New Roman"/>
          <w:sz w:val="32"/>
          <w:szCs w:val="32"/>
        </w:rPr>
        <w:t>年工作要点》。支持中阿产能合作示范园建设，举行中阿投资论坛活动，组织近</w:t>
      </w:r>
      <w:r>
        <w:rPr>
          <w:rFonts w:ascii="Times New Roman" w:hAnsi="Times New Roman" w:cs="Times New Roman"/>
          <w:sz w:val="32"/>
          <w:szCs w:val="32"/>
        </w:rPr>
        <w:t>30</w:t>
      </w:r>
      <w:r>
        <w:rPr>
          <w:rFonts w:ascii="Times New Roman" w:hAnsi="Times New Roman" w:cs="Times New Roman"/>
          <w:sz w:val="32"/>
          <w:szCs w:val="32"/>
        </w:rPr>
        <w:t>家南京企业赴阿联酋实地调研示范园并参加经贸交流活动。积极推动长三角一体化。召开</w:t>
      </w:r>
      <w:proofErr w:type="gramStart"/>
      <w:r>
        <w:rPr>
          <w:rFonts w:ascii="Times New Roman" w:hAnsi="Times New Roman" w:cs="Times New Roman"/>
          <w:sz w:val="32"/>
          <w:szCs w:val="32"/>
        </w:rPr>
        <w:t>市推动</w:t>
      </w:r>
      <w:proofErr w:type="gramEnd"/>
      <w:r>
        <w:rPr>
          <w:rFonts w:ascii="Times New Roman" w:hAnsi="Times New Roman" w:cs="Times New Roman"/>
          <w:sz w:val="32"/>
          <w:szCs w:val="32"/>
        </w:rPr>
        <w:t>长江经济带发展和长三角一体化发展领导小组会议</w:t>
      </w:r>
      <w:r>
        <w:rPr>
          <w:rFonts w:ascii="Times New Roman" w:hAnsi="Times New Roman" w:cs="Times New Roman" w:hint="eastAsia"/>
          <w:sz w:val="32"/>
          <w:szCs w:val="32"/>
        </w:rPr>
        <w:t>，</w:t>
      </w:r>
      <w:r>
        <w:rPr>
          <w:rFonts w:ascii="Times New Roman" w:hAnsi="Times New Roman" w:hint="eastAsia"/>
          <w:sz w:val="32"/>
          <w:szCs w:val="32"/>
        </w:rPr>
        <w:t>协助做好</w:t>
      </w:r>
      <w:r>
        <w:rPr>
          <w:rFonts w:ascii="Times New Roman" w:hAnsi="Times New Roman" w:hint="eastAsia"/>
          <w:sz w:val="32"/>
          <w:szCs w:val="32"/>
        </w:rPr>
        <w:t>2025</w:t>
      </w:r>
      <w:r>
        <w:rPr>
          <w:rFonts w:ascii="Times New Roman" w:hAnsi="Times New Roman" w:hint="eastAsia"/>
          <w:sz w:val="32"/>
          <w:szCs w:val="32"/>
        </w:rPr>
        <w:t>年度长三角地区主要领导座谈会保障工作</w:t>
      </w:r>
      <w:r>
        <w:rPr>
          <w:rFonts w:ascii="Times New Roman" w:hAnsi="Times New Roman" w:cs="Times New Roman"/>
          <w:sz w:val="32"/>
          <w:szCs w:val="32"/>
        </w:rPr>
        <w:t>。会同各成员城市印发实施《南京都市圈</w:t>
      </w:r>
      <w:r>
        <w:rPr>
          <w:rFonts w:ascii="Times New Roman" w:hAnsi="Times New Roman" w:cs="Times New Roman"/>
          <w:sz w:val="32"/>
          <w:szCs w:val="32"/>
        </w:rPr>
        <w:t>2025</w:t>
      </w:r>
      <w:r>
        <w:rPr>
          <w:rFonts w:ascii="Times New Roman" w:hAnsi="Times New Roman" w:cs="Times New Roman"/>
          <w:sz w:val="32"/>
          <w:szCs w:val="32"/>
        </w:rPr>
        <w:t>年工作要点》，围绕基础设施、统一市场、公共服务等重点领域提出</w:t>
      </w:r>
      <w:r>
        <w:rPr>
          <w:rFonts w:ascii="Times New Roman" w:hAnsi="Times New Roman" w:cs="Times New Roman"/>
          <w:sz w:val="32"/>
          <w:szCs w:val="32"/>
        </w:rPr>
        <w:t>40</w:t>
      </w:r>
      <w:r>
        <w:rPr>
          <w:rFonts w:ascii="Times New Roman" w:hAnsi="Times New Roman" w:cs="Times New Roman"/>
          <w:sz w:val="32"/>
          <w:szCs w:val="32"/>
        </w:rPr>
        <w:t>项重点任务。全面促进市</w:t>
      </w:r>
      <w:proofErr w:type="gramStart"/>
      <w:r>
        <w:rPr>
          <w:rFonts w:ascii="Times New Roman" w:hAnsi="Times New Roman" w:cs="Times New Roman"/>
          <w:sz w:val="32"/>
          <w:szCs w:val="32"/>
        </w:rPr>
        <w:t>域协调</w:t>
      </w:r>
      <w:proofErr w:type="gramEnd"/>
      <w:r>
        <w:rPr>
          <w:rFonts w:ascii="Times New Roman" w:hAnsi="Times New Roman" w:cs="Times New Roman"/>
          <w:sz w:val="32"/>
          <w:szCs w:val="32"/>
        </w:rPr>
        <w:t>发展。制定印发《南京市关于深化市域协调联动发展的若干措施（试行）》，推动各板块聚焦优势错位发展。编制实施《支持六合高淳两区</w:t>
      </w:r>
      <w:r>
        <w:rPr>
          <w:rFonts w:ascii="Times New Roman" w:hAnsi="Times New Roman" w:cs="Times New Roman"/>
          <w:sz w:val="32"/>
          <w:szCs w:val="32"/>
        </w:rPr>
        <w:lastRenderedPageBreak/>
        <w:t>进一步加快高质量发展任务清单》，明确</w:t>
      </w:r>
      <w:r>
        <w:rPr>
          <w:rFonts w:ascii="Times New Roman" w:hAnsi="Times New Roman" w:cs="Times New Roman"/>
          <w:sz w:val="32"/>
          <w:szCs w:val="32"/>
        </w:rPr>
        <w:t>38</w:t>
      </w:r>
      <w:r>
        <w:rPr>
          <w:rFonts w:ascii="Times New Roman" w:hAnsi="Times New Roman" w:cs="Times New Roman"/>
          <w:sz w:val="32"/>
          <w:szCs w:val="32"/>
        </w:rPr>
        <w:t>项支持任务。加快推进新型城镇化。制定印发《深入实施以人为本的新型城镇化战略</w:t>
      </w:r>
      <w:r>
        <w:rPr>
          <w:rFonts w:ascii="Times New Roman" w:hAnsi="Times New Roman" w:cs="Times New Roman"/>
          <w:sz w:val="32"/>
          <w:szCs w:val="32"/>
        </w:rPr>
        <w:t>2025</w:t>
      </w:r>
      <w:r>
        <w:rPr>
          <w:rFonts w:ascii="Times New Roman" w:hAnsi="Times New Roman" w:cs="Times New Roman"/>
          <w:sz w:val="32"/>
          <w:szCs w:val="32"/>
        </w:rPr>
        <w:t>年度工作要点》。推进国家新型城镇化试点，印发实施《南京市国家新型城镇化试点实施方案》，大力推动三大试点任务落地见效。扎实开展对口支援合作。安排对口支援和东西部协作项目</w:t>
      </w:r>
      <w:r>
        <w:rPr>
          <w:rFonts w:ascii="Times New Roman" w:hAnsi="Times New Roman" w:cs="Times New Roman"/>
          <w:sz w:val="32"/>
          <w:szCs w:val="32"/>
        </w:rPr>
        <w:t>237</w:t>
      </w:r>
      <w:r>
        <w:rPr>
          <w:rFonts w:ascii="Times New Roman" w:hAnsi="Times New Roman" w:cs="Times New Roman"/>
          <w:sz w:val="32"/>
          <w:szCs w:val="32"/>
        </w:rPr>
        <w:t>个，预计帮销农副产品超</w:t>
      </w:r>
      <w:r>
        <w:rPr>
          <w:rFonts w:ascii="Times New Roman" w:hAnsi="Times New Roman" w:cs="Times New Roman"/>
          <w:sz w:val="32"/>
          <w:szCs w:val="32"/>
        </w:rPr>
        <w:t>9</w:t>
      </w:r>
      <w:r>
        <w:rPr>
          <w:rFonts w:ascii="Times New Roman" w:hAnsi="Times New Roman" w:cs="Times New Roman"/>
          <w:sz w:val="32"/>
          <w:szCs w:val="32"/>
        </w:rPr>
        <w:t>亿多元，帮助就业</w:t>
      </w:r>
      <w:r>
        <w:rPr>
          <w:rFonts w:ascii="Times New Roman" w:hAnsi="Times New Roman" w:cs="Times New Roman"/>
          <w:sz w:val="32"/>
          <w:szCs w:val="32"/>
        </w:rPr>
        <w:t>1</w:t>
      </w:r>
      <w:r>
        <w:rPr>
          <w:rFonts w:ascii="Times New Roman" w:hAnsi="Times New Roman" w:cs="Times New Roman"/>
          <w:sz w:val="32"/>
          <w:szCs w:val="32"/>
        </w:rPr>
        <w:t>万多人、培训干部</w:t>
      </w:r>
      <w:proofErr w:type="gramStart"/>
      <w:r>
        <w:rPr>
          <w:rFonts w:ascii="Times New Roman" w:hAnsi="Times New Roman" w:cs="Times New Roman"/>
          <w:sz w:val="32"/>
          <w:szCs w:val="32"/>
        </w:rPr>
        <w:t>人才超</w:t>
      </w:r>
      <w:proofErr w:type="gramEnd"/>
      <w:r>
        <w:rPr>
          <w:rFonts w:ascii="Times New Roman" w:hAnsi="Times New Roman" w:cs="Times New Roman"/>
          <w:sz w:val="32"/>
          <w:szCs w:val="32"/>
        </w:rPr>
        <w:t>2</w:t>
      </w:r>
      <w:r>
        <w:rPr>
          <w:rFonts w:ascii="Times New Roman" w:hAnsi="Times New Roman" w:cs="Times New Roman"/>
          <w:sz w:val="32"/>
          <w:szCs w:val="32"/>
        </w:rPr>
        <w:t>万余人次。有序推动做好对口协作商洛、西宁和对口援藏干部人才轮换交接。</w:t>
      </w:r>
    </w:p>
    <w:p w:rsidR="001A79DF" w:rsidRDefault="00E70674">
      <w:pPr>
        <w:spacing w:line="560" w:lineRule="exact"/>
        <w:ind w:firstLine="640"/>
        <w:rPr>
          <w:rFonts w:ascii="Times New Roman" w:hAnsi="Times New Roman" w:cs="Times New Roman"/>
          <w:sz w:val="32"/>
          <w:szCs w:val="32"/>
        </w:rPr>
      </w:pPr>
      <w:r>
        <w:rPr>
          <w:rFonts w:ascii="Times New Roman" w:eastAsia="方正楷体_GBK" w:hAnsi="Times New Roman" w:cs="Times New Roman"/>
          <w:sz w:val="32"/>
          <w:szCs w:val="32"/>
        </w:rPr>
        <w:t>（六）扎实推进</w:t>
      </w:r>
      <w:r>
        <w:rPr>
          <w:rFonts w:ascii="Times New Roman" w:eastAsia="方正楷体_GBK" w:hAnsi="Times New Roman" w:cs="Times New Roman" w:hint="eastAsia"/>
          <w:sz w:val="32"/>
          <w:szCs w:val="32"/>
        </w:rPr>
        <w:t>全面</w:t>
      </w:r>
      <w:r>
        <w:rPr>
          <w:rFonts w:ascii="Times New Roman" w:eastAsia="方正楷体_GBK" w:hAnsi="Times New Roman" w:cs="Times New Roman"/>
          <w:sz w:val="32"/>
          <w:szCs w:val="32"/>
        </w:rPr>
        <w:t>绿色转型。</w:t>
      </w:r>
      <w:r>
        <w:rPr>
          <w:rFonts w:ascii="方正仿宋_GBK" w:hAnsi="Times New Roman" w:cs="Times New Roman" w:hint="eastAsia"/>
          <w:sz w:val="32"/>
          <w:szCs w:val="32"/>
        </w:rPr>
        <w:t>坚决保护长江生态。制定出台</w:t>
      </w:r>
      <w:r>
        <w:rPr>
          <w:rFonts w:ascii="Times New Roman" w:hAnsi="Times New Roman" w:cs="Times New Roman"/>
          <w:sz w:val="32"/>
          <w:szCs w:val="32"/>
        </w:rPr>
        <w:t>《</w:t>
      </w:r>
      <w:r>
        <w:rPr>
          <w:rFonts w:ascii="Times New Roman" w:hAnsi="Times New Roman" w:cs="Times New Roman"/>
          <w:sz w:val="32"/>
          <w:szCs w:val="32"/>
        </w:rPr>
        <w:t>2025</w:t>
      </w:r>
      <w:r>
        <w:rPr>
          <w:rFonts w:ascii="Times New Roman" w:hAnsi="Times New Roman" w:cs="Times New Roman"/>
          <w:sz w:val="32"/>
          <w:szCs w:val="32"/>
        </w:rPr>
        <w:t>年南京市推动长江经济带发展工作要点》，落实长江大保护三年工作任务举措，组织开展我市贯彻落实《长江经济带发展规划纲要》情况评</w:t>
      </w:r>
      <w:r>
        <w:rPr>
          <w:rFonts w:ascii="方正仿宋_GBK" w:hAnsi="Times New Roman" w:cs="Times New Roman" w:hint="eastAsia"/>
          <w:sz w:val="32"/>
          <w:szCs w:val="32"/>
        </w:rPr>
        <w:t>估，强化《长江保护法》宣传普及。</w:t>
      </w:r>
      <w:r>
        <w:rPr>
          <w:rFonts w:ascii="Times New Roman" w:hAnsi="Times New Roman" w:cs="Times New Roman"/>
          <w:sz w:val="32"/>
          <w:szCs w:val="32"/>
        </w:rPr>
        <w:t>有序开展</w:t>
      </w:r>
      <w:r>
        <w:rPr>
          <w:rFonts w:ascii="Times New Roman" w:hAnsi="Times New Roman" w:cs="Times New Roman"/>
          <w:sz w:val="32"/>
          <w:szCs w:val="32"/>
        </w:rPr>
        <w:t>“</w:t>
      </w:r>
      <w:r>
        <w:rPr>
          <w:rFonts w:ascii="Times New Roman" w:hAnsi="Times New Roman" w:cs="Times New Roman"/>
          <w:sz w:val="32"/>
          <w:szCs w:val="32"/>
        </w:rPr>
        <w:t>双碳</w:t>
      </w:r>
      <w:r>
        <w:rPr>
          <w:rFonts w:ascii="Times New Roman" w:hAnsi="Times New Roman" w:cs="Times New Roman"/>
          <w:sz w:val="32"/>
          <w:szCs w:val="32"/>
        </w:rPr>
        <w:t>”</w:t>
      </w:r>
      <w:r>
        <w:rPr>
          <w:rFonts w:ascii="Times New Roman" w:hAnsi="Times New Roman" w:cs="Times New Roman"/>
          <w:sz w:val="32"/>
          <w:szCs w:val="32"/>
        </w:rPr>
        <w:t>工作。开展</w:t>
      </w:r>
      <w:r>
        <w:rPr>
          <w:rFonts w:ascii="Times New Roman" w:hAnsi="Times New Roman" w:cs="Times New Roman"/>
          <w:sz w:val="32"/>
          <w:szCs w:val="32"/>
        </w:rPr>
        <w:t>“</w:t>
      </w:r>
      <w:r>
        <w:rPr>
          <w:rFonts w:ascii="Times New Roman" w:hAnsi="Times New Roman" w:cs="Times New Roman"/>
          <w:sz w:val="32"/>
          <w:szCs w:val="32"/>
        </w:rPr>
        <w:t>十五五</w:t>
      </w:r>
      <w:r>
        <w:rPr>
          <w:rFonts w:ascii="Times New Roman" w:hAnsi="Times New Roman" w:cs="Times New Roman"/>
          <w:sz w:val="32"/>
          <w:szCs w:val="32"/>
        </w:rPr>
        <w:t>”</w:t>
      </w:r>
      <w:r>
        <w:rPr>
          <w:rFonts w:ascii="Times New Roman" w:hAnsi="Times New Roman" w:cs="Times New Roman"/>
          <w:sz w:val="32"/>
          <w:szCs w:val="32"/>
        </w:rPr>
        <w:t>绿色低碳发展规划前期研究，制定全面绿色转型</w:t>
      </w:r>
      <w:r>
        <w:rPr>
          <w:rFonts w:ascii="Times New Roman" w:hAnsi="Times New Roman" w:cs="Times New Roman"/>
          <w:sz w:val="32"/>
          <w:szCs w:val="32"/>
        </w:rPr>
        <w:t>2025</w:t>
      </w:r>
      <w:r>
        <w:rPr>
          <w:rFonts w:ascii="Times New Roman" w:hAnsi="Times New Roman" w:cs="Times New Roman"/>
          <w:sz w:val="32"/>
          <w:szCs w:val="32"/>
        </w:rPr>
        <w:t>年重点任务清单。江宁开发区推进</w:t>
      </w:r>
      <w:proofErr w:type="gramStart"/>
      <w:r>
        <w:rPr>
          <w:rFonts w:ascii="Times New Roman" w:hAnsi="Times New Roman" w:cs="Times New Roman"/>
          <w:sz w:val="32"/>
          <w:szCs w:val="32"/>
        </w:rPr>
        <w:t>国家碳达峰</w:t>
      </w:r>
      <w:proofErr w:type="gramEnd"/>
      <w:r>
        <w:rPr>
          <w:rFonts w:ascii="Times New Roman" w:hAnsi="Times New Roman" w:cs="Times New Roman"/>
          <w:sz w:val="32"/>
          <w:szCs w:val="32"/>
        </w:rPr>
        <w:t>试点，</w:t>
      </w:r>
      <w:r>
        <w:rPr>
          <w:rFonts w:ascii="Times New Roman" w:hAnsi="Times New Roman" w:cs="Times New Roman"/>
          <w:sz w:val="32"/>
          <w:szCs w:val="32"/>
        </w:rPr>
        <w:t>5</w:t>
      </w:r>
      <w:r>
        <w:rPr>
          <w:rFonts w:ascii="Times New Roman" w:hAnsi="Times New Roman" w:cs="Times New Roman"/>
          <w:sz w:val="32"/>
          <w:szCs w:val="32"/>
        </w:rPr>
        <w:t>个省级</w:t>
      </w:r>
      <w:proofErr w:type="gramStart"/>
      <w:r>
        <w:rPr>
          <w:rFonts w:ascii="Times New Roman" w:hAnsi="Times New Roman" w:cs="Times New Roman"/>
          <w:sz w:val="32"/>
          <w:szCs w:val="32"/>
        </w:rPr>
        <w:t>双碳试点</w:t>
      </w:r>
      <w:proofErr w:type="gramEnd"/>
      <w:r>
        <w:rPr>
          <w:rFonts w:ascii="Times New Roman" w:hAnsi="Times New Roman" w:cs="Times New Roman"/>
          <w:sz w:val="32"/>
          <w:szCs w:val="32"/>
        </w:rPr>
        <w:t>有序实施，</w:t>
      </w:r>
      <w:r>
        <w:rPr>
          <w:rFonts w:ascii="Times New Roman" w:hAnsi="Times New Roman" w:cs="Times New Roman"/>
          <w:sz w:val="32"/>
          <w:szCs w:val="32"/>
        </w:rPr>
        <w:t>2</w:t>
      </w:r>
      <w:r>
        <w:rPr>
          <w:rFonts w:ascii="Times New Roman" w:hAnsi="Times New Roman" w:cs="Times New Roman"/>
          <w:sz w:val="32"/>
          <w:szCs w:val="32"/>
        </w:rPr>
        <w:t>个项目入选国家绿色低碳先进技术示范项目，发布</w:t>
      </w:r>
      <w:r>
        <w:rPr>
          <w:rFonts w:ascii="Times New Roman" w:hAnsi="Times New Roman" w:cs="Times New Roman"/>
          <w:sz w:val="32"/>
          <w:szCs w:val="32"/>
        </w:rPr>
        <w:t>10</w:t>
      </w:r>
      <w:r>
        <w:rPr>
          <w:rFonts w:ascii="Times New Roman" w:hAnsi="Times New Roman" w:cs="Times New Roman"/>
          <w:sz w:val="32"/>
          <w:szCs w:val="32"/>
        </w:rPr>
        <w:t>个省级绿色低碳典型案例。节能</w:t>
      </w:r>
      <w:proofErr w:type="gramStart"/>
      <w:r>
        <w:rPr>
          <w:rFonts w:ascii="Times New Roman" w:hAnsi="Times New Roman" w:cs="Times New Roman"/>
          <w:sz w:val="32"/>
          <w:szCs w:val="32"/>
        </w:rPr>
        <w:t>降碳成效</w:t>
      </w:r>
      <w:proofErr w:type="gramEnd"/>
      <w:r>
        <w:rPr>
          <w:rFonts w:ascii="Times New Roman" w:hAnsi="Times New Roman" w:cs="Times New Roman"/>
          <w:sz w:val="32"/>
          <w:szCs w:val="32"/>
        </w:rPr>
        <w:t>显著。优化节能审查流程，更新申报指引</w:t>
      </w:r>
      <w:r>
        <w:rPr>
          <w:rFonts w:ascii="Times New Roman" w:hAnsi="Times New Roman" w:cs="Times New Roman"/>
          <w:sz w:val="32"/>
          <w:szCs w:val="32"/>
        </w:rPr>
        <w:t>3.0</w:t>
      </w:r>
      <w:r>
        <w:rPr>
          <w:rFonts w:ascii="Times New Roman" w:hAnsi="Times New Roman" w:cs="Times New Roman"/>
          <w:sz w:val="32"/>
          <w:szCs w:val="32"/>
        </w:rPr>
        <w:t>版，组织政策培训</w:t>
      </w:r>
      <w:r>
        <w:rPr>
          <w:rFonts w:ascii="Times New Roman" w:hAnsi="Times New Roman" w:cs="Times New Roman" w:hint="eastAsia"/>
          <w:sz w:val="32"/>
          <w:szCs w:val="32"/>
        </w:rPr>
        <w:t>，</w:t>
      </w:r>
      <w:r>
        <w:rPr>
          <w:rFonts w:ascii="Times New Roman" w:hAnsi="Times New Roman" w:cs="Times New Roman"/>
          <w:sz w:val="32"/>
          <w:szCs w:val="32"/>
        </w:rPr>
        <w:t>2</w:t>
      </w:r>
      <w:r>
        <w:rPr>
          <w:rFonts w:ascii="Times New Roman" w:hAnsi="Times New Roman" w:cs="Times New Roman"/>
          <w:sz w:val="32"/>
          <w:szCs w:val="32"/>
        </w:rPr>
        <w:t>个项目获</w:t>
      </w:r>
      <w:proofErr w:type="gramStart"/>
      <w:r>
        <w:rPr>
          <w:rFonts w:ascii="Times New Roman" w:hAnsi="Times New Roman" w:cs="Times New Roman"/>
          <w:sz w:val="32"/>
          <w:szCs w:val="32"/>
        </w:rPr>
        <w:t>节能降碳专项</w:t>
      </w:r>
      <w:proofErr w:type="gramEnd"/>
      <w:r>
        <w:rPr>
          <w:rFonts w:ascii="Times New Roman" w:hAnsi="Times New Roman" w:cs="Times New Roman"/>
          <w:sz w:val="32"/>
          <w:szCs w:val="32"/>
        </w:rPr>
        <w:t>中央预算内投资，</w:t>
      </w:r>
      <w:r>
        <w:rPr>
          <w:rFonts w:ascii="Times New Roman" w:hAnsi="Times New Roman" w:cs="Times New Roman"/>
          <w:sz w:val="32"/>
          <w:szCs w:val="32"/>
        </w:rPr>
        <w:t>“</w:t>
      </w:r>
      <w:r>
        <w:rPr>
          <w:rFonts w:ascii="Times New Roman" w:hAnsi="Times New Roman" w:cs="Times New Roman"/>
          <w:sz w:val="32"/>
          <w:szCs w:val="32"/>
        </w:rPr>
        <w:t>两重</w:t>
      </w:r>
      <w:r>
        <w:rPr>
          <w:rFonts w:ascii="Times New Roman" w:hAnsi="Times New Roman" w:cs="Times New Roman"/>
          <w:sz w:val="32"/>
          <w:szCs w:val="32"/>
        </w:rPr>
        <w:t>”</w:t>
      </w:r>
      <w:r>
        <w:rPr>
          <w:rFonts w:ascii="Times New Roman" w:hAnsi="Times New Roman" w:cs="Times New Roman"/>
          <w:sz w:val="32"/>
          <w:szCs w:val="32"/>
        </w:rPr>
        <w:t>领域沿江污水治理方向获批国债资金量全省第一。生态保护不断加强</w:t>
      </w:r>
      <w:r>
        <w:rPr>
          <w:rFonts w:ascii="Times New Roman" w:hAnsi="Times New Roman" w:cs="Times New Roman" w:hint="eastAsia"/>
          <w:sz w:val="32"/>
          <w:szCs w:val="32"/>
        </w:rPr>
        <w:t>。</w:t>
      </w:r>
      <w:r>
        <w:rPr>
          <w:rFonts w:ascii="Times New Roman" w:hAnsi="Times New Roman" w:cs="Times New Roman"/>
          <w:sz w:val="32"/>
          <w:szCs w:val="32"/>
        </w:rPr>
        <w:t>印发粮食节约、废旧物资循环利用等年度工作要点，落实生态保护补偿制度。深化都市</w:t>
      </w:r>
      <w:proofErr w:type="gramStart"/>
      <w:r>
        <w:rPr>
          <w:rFonts w:ascii="Times New Roman" w:hAnsi="Times New Roman" w:cs="Times New Roman"/>
          <w:sz w:val="32"/>
          <w:szCs w:val="32"/>
        </w:rPr>
        <w:t>圈联合</w:t>
      </w:r>
      <w:proofErr w:type="gramEnd"/>
      <w:r>
        <w:rPr>
          <w:rFonts w:ascii="Times New Roman" w:hAnsi="Times New Roman" w:cs="Times New Roman"/>
          <w:sz w:val="32"/>
          <w:szCs w:val="32"/>
        </w:rPr>
        <w:t>河湖长制，加强长江江豚保护，探索环境质量数据共享，实施跨区域大气污染联防联控。</w:t>
      </w:r>
    </w:p>
    <w:p w:rsidR="001A79DF" w:rsidRDefault="00E70674">
      <w:pPr>
        <w:spacing w:line="560" w:lineRule="exact"/>
        <w:ind w:firstLine="640"/>
        <w:rPr>
          <w:rFonts w:ascii="Times New Roman" w:hAnsi="Times New Roman" w:cs="Times New Roman"/>
          <w:sz w:val="32"/>
          <w:szCs w:val="32"/>
        </w:rPr>
      </w:pPr>
      <w:r>
        <w:rPr>
          <w:rFonts w:ascii="Times New Roman" w:eastAsia="方正楷体_GBK" w:hAnsi="Times New Roman" w:cs="Times New Roman"/>
          <w:sz w:val="32"/>
          <w:szCs w:val="32"/>
        </w:rPr>
        <w:lastRenderedPageBreak/>
        <w:t>（七）</w:t>
      </w:r>
      <w:r>
        <w:rPr>
          <w:rFonts w:ascii="Times New Roman" w:eastAsia="方正楷体_GBK" w:hAnsi="Times New Roman" w:cs="Times New Roman" w:hint="eastAsia"/>
          <w:sz w:val="32"/>
          <w:szCs w:val="32"/>
        </w:rPr>
        <w:t>持续提升</w:t>
      </w:r>
      <w:r>
        <w:rPr>
          <w:rFonts w:ascii="Times New Roman" w:eastAsia="方正楷体_GBK" w:hAnsi="Times New Roman" w:cs="Times New Roman"/>
          <w:sz w:val="32"/>
          <w:szCs w:val="32"/>
        </w:rPr>
        <w:t>民生保障</w:t>
      </w:r>
      <w:r>
        <w:rPr>
          <w:rFonts w:ascii="Times New Roman" w:eastAsia="方正楷体_GBK" w:hAnsi="Times New Roman" w:cs="Times New Roman" w:hint="eastAsia"/>
          <w:sz w:val="32"/>
          <w:szCs w:val="32"/>
        </w:rPr>
        <w:t>质量</w:t>
      </w:r>
      <w:r>
        <w:rPr>
          <w:rFonts w:ascii="Times New Roman" w:eastAsia="方正楷体_GBK" w:hAnsi="Times New Roman" w:cs="Times New Roman"/>
          <w:sz w:val="32"/>
          <w:szCs w:val="32"/>
        </w:rPr>
        <w:t>。</w:t>
      </w:r>
      <w:r>
        <w:rPr>
          <w:rFonts w:ascii="Times New Roman" w:hAnsi="Times New Roman" w:cs="Times New Roman"/>
          <w:sz w:val="32"/>
          <w:szCs w:val="32"/>
        </w:rPr>
        <w:t>民生实事扎实推进</w:t>
      </w:r>
      <w:r>
        <w:rPr>
          <w:rFonts w:ascii="Times New Roman" w:hAnsi="Times New Roman" w:cs="Times New Roman" w:hint="eastAsia"/>
          <w:sz w:val="32"/>
          <w:szCs w:val="32"/>
        </w:rPr>
        <w:t>。</w:t>
      </w:r>
      <w:r>
        <w:rPr>
          <w:rFonts w:ascii="Times New Roman" w:hAnsi="Times New Roman" w:cs="Times New Roman"/>
          <w:sz w:val="32"/>
          <w:szCs w:val="32"/>
        </w:rPr>
        <w:t>牵头实施</w:t>
      </w:r>
      <w:r>
        <w:rPr>
          <w:rFonts w:ascii="Times New Roman" w:hAnsi="Times New Roman" w:cs="Times New Roman"/>
          <w:sz w:val="32"/>
          <w:szCs w:val="32"/>
        </w:rPr>
        <w:t>10</w:t>
      </w:r>
      <w:r>
        <w:rPr>
          <w:rFonts w:ascii="Times New Roman" w:hAnsi="Times New Roman" w:cs="Times New Roman"/>
          <w:sz w:val="32"/>
          <w:szCs w:val="32"/>
        </w:rPr>
        <w:t>类</w:t>
      </w:r>
      <w:r>
        <w:rPr>
          <w:rFonts w:ascii="Times New Roman" w:hAnsi="Times New Roman" w:cs="Times New Roman"/>
          <w:sz w:val="32"/>
          <w:szCs w:val="32"/>
        </w:rPr>
        <w:t>42</w:t>
      </w:r>
      <w:r>
        <w:rPr>
          <w:rFonts w:ascii="Times New Roman" w:hAnsi="Times New Roman" w:cs="Times New Roman"/>
          <w:sz w:val="32"/>
          <w:szCs w:val="32"/>
        </w:rPr>
        <w:t>项民生实事，</w:t>
      </w:r>
      <w:r>
        <w:rPr>
          <w:rFonts w:ascii="Times New Roman" w:hAnsi="Times New Roman" w:cs="Times New Roman"/>
          <w:sz w:val="32"/>
          <w:szCs w:val="32"/>
        </w:rPr>
        <w:t>38</w:t>
      </w:r>
      <w:r>
        <w:rPr>
          <w:rFonts w:ascii="Times New Roman" w:hAnsi="Times New Roman" w:cs="Times New Roman"/>
          <w:sz w:val="32"/>
          <w:szCs w:val="32"/>
        </w:rPr>
        <w:t>项提前完成全年目标，银发助餐点、托</w:t>
      </w:r>
      <w:proofErr w:type="gramStart"/>
      <w:r>
        <w:rPr>
          <w:rFonts w:ascii="Times New Roman" w:hAnsi="Times New Roman" w:cs="Times New Roman"/>
          <w:sz w:val="32"/>
          <w:szCs w:val="32"/>
        </w:rPr>
        <w:t>育服务</w:t>
      </w:r>
      <w:proofErr w:type="gramEnd"/>
      <w:r>
        <w:rPr>
          <w:rFonts w:ascii="Times New Roman" w:hAnsi="Times New Roman" w:cs="Times New Roman"/>
          <w:sz w:val="32"/>
          <w:szCs w:val="32"/>
        </w:rPr>
        <w:t>体系等</w:t>
      </w:r>
      <w:r>
        <w:rPr>
          <w:rFonts w:ascii="Times New Roman" w:hAnsi="Times New Roman" w:cs="Times New Roman"/>
          <w:sz w:val="32"/>
          <w:szCs w:val="32"/>
        </w:rPr>
        <w:t>“</w:t>
      </w:r>
      <w:r>
        <w:rPr>
          <w:rFonts w:ascii="Times New Roman" w:hAnsi="Times New Roman" w:cs="Times New Roman"/>
          <w:sz w:val="32"/>
          <w:szCs w:val="32"/>
        </w:rPr>
        <w:t>南京经验</w:t>
      </w:r>
      <w:r>
        <w:rPr>
          <w:rFonts w:ascii="Times New Roman" w:hAnsi="Times New Roman" w:cs="Times New Roman"/>
          <w:sz w:val="32"/>
          <w:szCs w:val="32"/>
        </w:rPr>
        <w:t>”</w:t>
      </w:r>
      <w:r>
        <w:rPr>
          <w:rFonts w:ascii="Times New Roman" w:hAnsi="Times New Roman" w:cs="Times New Roman"/>
          <w:sz w:val="32"/>
          <w:szCs w:val="32"/>
        </w:rPr>
        <w:t>获全国推广。南京</w:t>
      </w:r>
      <w:r>
        <w:rPr>
          <w:rFonts w:ascii="Times New Roman" w:hAnsi="Times New Roman" w:cs="Times New Roman"/>
          <w:sz w:val="32"/>
          <w:szCs w:val="32"/>
        </w:rPr>
        <w:t>15</w:t>
      </w:r>
      <w:r>
        <w:rPr>
          <w:rFonts w:ascii="Times New Roman" w:hAnsi="Times New Roman" w:cs="Times New Roman"/>
          <w:sz w:val="32"/>
          <w:szCs w:val="32"/>
        </w:rPr>
        <w:t>次获评中国最具幸福感城市，全市基本公共服务水平省监测连续</w:t>
      </w:r>
      <w:r>
        <w:rPr>
          <w:rFonts w:ascii="Times New Roman" w:hAnsi="Times New Roman" w:cs="Times New Roman"/>
          <w:sz w:val="32"/>
          <w:szCs w:val="32"/>
        </w:rPr>
        <w:t>8</w:t>
      </w:r>
      <w:r>
        <w:rPr>
          <w:rFonts w:ascii="Times New Roman" w:hAnsi="Times New Roman" w:cs="Times New Roman"/>
          <w:sz w:val="32"/>
          <w:szCs w:val="32"/>
        </w:rPr>
        <w:t>年第一。民生保障持续增强。编制富民增收重点任务清单，城乡收入</w:t>
      </w:r>
      <w:proofErr w:type="gramStart"/>
      <w:r>
        <w:rPr>
          <w:rFonts w:ascii="Times New Roman" w:hAnsi="Times New Roman" w:cs="Times New Roman"/>
          <w:sz w:val="32"/>
          <w:szCs w:val="32"/>
        </w:rPr>
        <w:t>比持续</w:t>
      </w:r>
      <w:proofErr w:type="gramEnd"/>
      <w:r>
        <w:rPr>
          <w:rFonts w:ascii="Times New Roman" w:hAnsi="Times New Roman" w:cs="Times New Roman"/>
          <w:sz w:val="32"/>
          <w:szCs w:val="32"/>
        </w:rPr>
        <w:t>缩小。争取社会领域</w:t>
      </w:r>
      <w:r>
        <w:rPr>
          <w:rFonts w:ascii="Times New Roman" w:hAnsi="Times New Roman" w:cs="Times New Roman"/>
          <w:sz w:val="32"/>
          <w:szCs w:val="32"/>
        </w:rPr>
        <w:t>“</w:t>
      </w:r>
      <w:r>
        <w:rPr>
          <w:rFonts w:ascii="Times New Roman" w:hAnsi="Times New Roman" w:cs="Times New Roman"/>
          <w:sz w:val="32"/>
          <w:szCs w:val="32"/>
        </w:rPr>
        <w:t>两重</w:t>
      </w:r>
      <w:r>
        <w:rPr>
          <w:rFonts w:ascii="Times New Roman" w:hAnsi="Times New Roman" w:cs="Times New Roman"/>
          <w:sz w:val="32"/>
          <w:szCs w:val="32"/>
        </w:rPr>
        <w:t>”“</w:t>
      </w:r>
      <w:r>
        <w:rPr>
          <w:rFonts w:ascii="Times New Roman" w:hAnsi="Times New Roman" w:cs="Times New Roman"/>
          <w:sz w:val="32"/>
          <w:szCs w:val="32"/>
        </w:rPr>
        <w:t>两新</w:t>
      </w:r>
      <w:r>
        <w:rPr>
          <w:rFonts w:ascii="Times New Roman" w:hAnsi="Times New Roman" w:cs="Times New Roman"/>
          <w:sz w:val="32"/>
          <w:szCs w:val="32"/>
        </w:rPr>
        <w:t>”</w:t>
      </w:r>
      <w:r>
        <w:rPr>
          <w:rFonts w:ascii="Times New Roman" w:hAnsi="Times New Roman" w:cs="Times New Roman"/>
          <w:sz w:val="32"/>
          <w:szCs w:val="32"/>
        </w:rPr>
        <w:t>资金、中央预算内投资，支持中小学、医院、养老托育等项目建设。安全底线牢牢守住。统筹市场化与政策性收购，新增</w:t>
      </w:r>
      <w:r>
        <w:rPr>
          <w:rFonts w:ascii="Times New Roman" w:hAnsi="Times New Roman" w:cs="Times New Roman"/>
          <w:sz w:val="32"/>
          <w:szCs w:val="32"/>
        </w:rPr>
        <w:t>20</w:t>
      </w:r>
      <w:r>
        <w:rPr>
          <w:rFonts w:ascii="Times New Roman" w:hAnsi="Times New Roman" w:cs="Times New Roman"/>
          <w:sz w:val="32"/>
          <w:szCs w:val="32"/>
        </w:rPr>
        <w:t>家粮食应急供应网点，推进</w:t>
      </w:r>
      <w:r>
        <w:rPr>
          <w:rFonts w:ascii="Times New Roman" w:hAnsi="Times New Roman" w:cs="Times New Roman"/>
          <w:sz w:val="32"/>
          <w:szCs w:val="32"/>
        </w:rPr>
        <w:t>5</w:t>
      </w:r>
      <w:r>
        <w:rPr>
          <w:rFonts w:ascii="Times New Roman" w:hAnsi="Times New Roman" w:cs="Times New Roman"/>
          <w:sz w:val="32"/>
          <w:szCs w:val="32"/>
        </w:rPr>
        <w:t>个区级应急保障中心建设，深化宁淮、哈宁粮食产销合作。强化</w:t>
      </w:r>
      <w:proofErr w:type="gramStart"/>
      <w:r>
        <w:rPr>
          <w:rFonts w:ascii="Times New Roman" w:hAnsi="Times New Roman" w:cs="Times New Roman"/>
          <w:sz w:val="32"/>
          <w:szCs w:val="32"/>
        </w:rPr>
        <w:t>能源电力保</w:t>
      </w:r>
      <w:proofErr w:type="gramEnd"/>
      <w:r>
        <w:rPr>
          <w:rFonts w:ascii="Times New Roman" w:hAnsi="Times New Roman" w:cs="Times New Roman"/>
          <w:sz w:val="32"/>
          <w:szCs w:val="32"/>
        </w:rPr>
        <w:t>供，开展油气长输管道等安全隐患排查。</w:t>
      </w:r>
    </w:p>
    <w:p w:rsidR="001A79DF" w:rsidRDefault="00E70674">
      <w:pPr>
        <w:pStyle w:val="a4"/>
        <w:spacing w:line="560" w:lineRule="exact"/>
        <w:ind w:firstLine="640"/>
        <w:rPr>
          <w:rFonts w:ascii="Times New Roman" w:eastAsia="方正仿宋_GBK" w:hAnsi="Times New Roman" w:cs="Times New Roman"/>
          <w:sz w:val="32"/>
          <w:szCs w:val="32"/>
        </w:rPr>
      </w:pPr>
      <w:r>
        <w:rPr>
          <w:rFonts w:ascii="Times New Roman" w:eastAsia="方正楷体_GBK" w:hAnsi="Times New Roman" w:cs="Times New Roman"/>
          <w:sz w:val="32"/>
          <w:szCs w:val="32"/>
        </w:rPr>
        <w:t>（八）持续加强</w:t>
      </w:r>
      <w:r>
        <w:rPr>
          <w:rFonts w:ascii="Times New Roman" w:eastAsia="方正楷体_GBK" w:hAnsi="Times New Roman" w:cs="Times New Roman" w:hint="eastAsia"/>
          <w:sz w:val="32"/>
          <w:szCs w:val="32"/>
        </w:rPr>
        <w:t>机关</w:t>
      </w:r>
      <w:r>
        <w:rPr>
          <w:rFonts w:ascii="Times New Roman" w:eastAsia="方正楷体_GBK" w:hAnsi="Times New Roman" w:cs="Times New Roman"/>
          <w:sz w:val="32"/>
          <w:szCs w:val="32"/>
        </w:rPr>
        <w:t>作风建设。</w:t>
      </w:r>
      <w:r>
        <w:rPr>
          <w:rFonts w:ascii="Times New Roman" w:eastAsia="方正仿宋_GBK" w:hAnsi="Times New Roman" w:cs="Times New Roman"/>
          <w:sz w:val="32"/>
          <w:szCs w:val="32"/>
        </w:rPr>
        <w:t>理论武装不断深化。始终把坚定捍卫</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两个确立</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、坚决做到</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两个维护</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作为党的建设的首要任务，严格落实</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第一议题</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以及</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三会一课</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、主题党日、组织生活会等制度，常态化学</w:t>
      </w:r>
      <w:proofErr w:type="gramStart"/>
      <w:r>
        <w:rPr>
          <w:rFonts w:ascii="Times New Roman" w:eastAsia="方正仿宋_GBK" w:hAnsi="Times New Roman" w:cs="Times New Roman"/>
          <w:sz w:val="32"/>
          <w:szCs w:val="32"/>
        </w:rPr>
        <w:t>习习近</w:t>
      </w:r>
      <w:proofErr w:type="gramEnd"/>
      <w:r>
        <w:rPr>
          <w:rFonts w:ascii="Times New Roman" w:eastAsia="方正仿宋_GBK" w:hAnsi="Times New Roman" w:cs="Times New Roman"/>
          <w:sz w:val="32"/>
          <w:szCs w:val="32"/>
        </w:rPr>
        <w:t>平新时代中国特色社会主义思想，深入学习贯彻党的二十届四中全会精神。党建业务深度融合。落实党风廉政建设责任制，开展警示教育，组织</w:t>
      </w:r>
      <w:proofErr w:type="gramStart"/>
      <w:r>
        <w:rPr>
          <w:rFonts w:ascii="Times New Roman" w:eastAsia="方正仿宋_GBK" w:hAnsi="Times New Roman" w:cs="Times New Roman"/>
          <w:sz w:val="32"/>
          <w:szCs w:val="32"/>
        </w:rPr>
        <w:t>党员赴</w:t>
      </w:r>
      <w:proofErr w:type="gramEnd"/>
      <w:r>
        <w:rPr>
          <w:rFonts w:ascii="Times New Roman" w:eastAsia="方正仿宋_GBK" w:hAnsi="Times New Roman" w:cs="Times New Roman"/>
          <w:sz w:val="32"/>
          <w:szCs w:val="32"/>
        </w:rPr>
        <w:t>雨花台烈士陵园接受教育。配合做好巡视工作</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牵头报送市配合巡视工作联络组交办任务单近</w:t>
      </w:r>
      <w:r>
        <w:rPr>
          <w:rFonts w:ascii="Times New Roman" w:eastAsia="方正仿宋_GBK" w:hAnsi="Times New Roman" w:cs="Times New Roman"/>
          <w:sz w:val="32"/>
          <w:szCs w:val="32"/>
        </w:rPr>
        <w:t>30</w:t>
      </w:r>
      <w:r>
        <w:rPr>
          <w:rFonts w:ascii="Times New Roman" w:eastAsia="方正仿宋_GBK" w:hAnsi="Times New Roman" w:cs="Times New Roman"/>
          <w:sz w:val="32"/>
          <w:szCs w:val="32"/>
        </w:rPr>
        <w:t>件</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持续做好近年来巡视巡察、财务审计和作风建设满意度评议反馈意见建议整改工作。作风建设持续优化。周密组织开展深入贯彻中央八项规定精神学习教育，全委工作方案明确</w:t>
      </w:r>
      <w:r>
        <w:rPr>
          <w:rFonts w:ascii="Times New Roman" w:eastAsia="方正仿宋_GBK" w:hAnsi="Times New Roman" w:cs="Times New Roman"/>
          <w:sz w:val="32"/>
          <w:szCs w:val="32"/>
        </w:rPr>
        <w:t>4</w:t>
      </w:r>
      <w:r>
        <w:rPr>
          <w:rFonts w:ascii="Times New Roman" w:eastAsia="方正仿宋_GBK" w:hAnsi="Times New Roman" w:cs="Times New Roman"/>
          <w:sz w:val="32"/>
          <w:szCs w:val="32"/>
        </w:rPr>
        <w:t>个方面</w:t>
      </w:r>
      <w:r>
        <w:rPr>
          <w:rFonts w:ascii="Times New Roman" w:eastAsia="方正仿宋_GBK" w:hAnsi="Times New Roman" w:cs="Times New Roman"/>
          <w:sz w:val="32"/>
          <w:szCs w:val="32"/>
        </w:rPr>
        <w:t>12</w:t>
      </w:r>
      <w:r>
        <w:rPr>
          <w:rFonts w:ascii="Times New Roman" w:eastAsia="方正仿宋_GBK" w:hAnsi="Times New Roman" w:cs="Times New Roman"/>
          <w:sz w:val="32"/>
          <w:szCs w:val="32"/>
        </w:rPr>
        <w:t>项具体内容，</w:t>
      </w:r>
      <w:r>
        <w:rPr>
          <w:rFonts w:ascii="Times New Roman" w:eastAsia="方正仿宋_GBK" w:hAnsi="Times New Roman" w:cs="Times New Roman"/>
          <w:sz w:val="32"/>
          <w:szCs w:val="32"/>
        </w:rPr>
        <w:t>30</w:t>
      </w:r>
      <w:r>
        <w:rPr>
          <w:rFonts w:ascii="Times New Roman" w:eastAsia="方正仿宋_GBK" w:hAnsi="Times New Roman" w:cs="Times New Roman"/>
          <w:sz w:val="32"/>
          <w:szCs w:val="32"/>
        </w:rPr>
        <w:t>个党支部结合实际进一步细化实化党支部学习计划。对照中央八项规定及其实施细则精神排</w:t>
      </w:r>
      <w:r>
        <w:rPr>
          <w:rFonts w:ascii="Times New Roman" w:eastAsia="方正仿宋_GBK" w:hAnsi="Times New Roman" w:cs="Times New Roman"/>
          <w:sz w:val="32"/>
          <w:szCs w:val="32"/>
        </w:rPr>
        <w:lastRenderedPageBreak/>
        <w:t>查梳理，研究确定委党组</w:t>
      </w: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个立行</w:t>
      </w:r>
      <w:proofErr w:type="gramStart"/>
      <w:r>
        <w:rPr>
          <w:rFonts w:ascii="Times New Roman" w:eastAsia="方正仿宋_GBK" w:hAnsi="Times New Roman" w:cs="Times New Roman"/>
          <w:sz w:val="32"/>
          <w:szCs w:val="32"/>
        </w:rPr>
        <w:t>立改问题</w:t>
      </w:r>
      <w:proofErr w:type="gramEnd"/>
      <w:r>
        <w:rPr>
          <w:rFonts w:ascii="Times New Roman" w:eastAsia="方正仿宋_GBK" w:hAnsi="Times New Roman" w:cs="Times New Roman"/>
          <w:sz w:val="32"/>
          <w:szCs w:val="32"/>
        </w:rPr>
        <w:t>和</w:t>
      </w: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个集中整治问题。</w:t>
      </w:r>
      <w:bookmarkStart w:id="65" w:name="_Toc1637"/>
      <w:bookmarkStart w:id="66" w:name="_Toc4902"/>
      <w:bookmarkStart w:id="67" w:name="_Toc170474504"/>
      <w:bookmarkStart w:id="68" w:name="_Toc169773123"/>
      <w:bookmarkStart w:id="69" w:name="_Toc21718"/>
      <w:bookmarkStart w:id="70" w:name="_Toc27280"/>
      <w:bookmarkStart w:id="71" w:name="_Toc9170"/>
      <w:bookmarkStart w:id="72" w:name="_Toc12363"/>
      <w:bookmarkStart w:id="73" w:name="_Toc15796"/>
    </w:p>
    <w:p w:rsidR="001A79DF" w:rsidRDefault="00E70674">
      <w:pPr>
        <w:pStyle w:val="a4"/>
        <w:spacing w:line="560" w:lineRule="exact"/>
        <w:ind w:firstLine="600"/>
        <w:rPr>
          <w:rFonts w:ascii="Times New Roman" w:eastAsia="黑体" w:hAnsi="Times New Roman" w:cs="Times New Roman"/>
          <w:szCs w:val="32"/>
        </w:rPr>
      </w:pPr>
      <w:r>
        <w:rPr>
          <w:rFonts w:ascii="Times New Roman" w:eastAsia="黑体" w:hAnsi="Times New Roman" w:cs="Times New Roman"/>
          <w:szCs w:val="32"/>
        </w:rPr>
        <w:t>四、存在问题</w:t>
      </w:r>
      <w:bookmarkStart w:id="74" w:name="_Toc9464"/>
      <w:bookmarkEnd w:id="65"/>
      <w:bookmarkEnd w:id="66"/>
      <w:bookmarkEnd w:id="67"/>
      <w:bookmarkEnd w:id="68"/>
      <w:bookmarkEnd w:id="69"/>
      <w:bookmarkEnd w:id="70"/>
      <w:bookmarkEnd w:id="71"/>
      <w:bookmarkEnd w:id="72"/>
      <w:bookmarkEnd w:id="73"/>
    </w:p>
    <w:p w:rsidR="001A79DF" w:rsidRDefault="00E70674">
      <w:pPr>
        <w:pStyle w:val="a4"/>
        <w:spacing w:line="560" w:lineRule="exact"/>
        <w:ind w:firstLine="600"/>
        <w:rPr>
          <w:rFonts w:ascii="方正仿宋_GBK" w:eastAsia="方正仿宋_GBK" w:hAnsi="方正仿宋_GBK" w:cs="方正仿宋_GBK"/>
          <w:sz w:val="32"/>
          <w:szCs w:val="32"/>
        </w:rPr>
      </w:pPr>
      <w:r>
        <w:rPr>
          <w:rFonts w:ascii="Times New Roman" w:eastAsia="方正楷体_GBK" w:hAnsi="Times New Roman" w:cs="方正楷体_GBK" w:hint="eastAsia"/>
          <w:bCs/>
        </w:rPr>
        <w:t>（一）</w:t>
      </w:r>
      <w:r>
        <w:rPr>
          <w:rFonts w:ascii="Times New Roman" w:eastAsia="方正楷体_GBK" w:hAnsi="Times New Roman" w:cs="方正楷体_GBK"/>
          <w:bCs/>
        </w:rPr>
        <w:t>绩效</w:t>
      </w:r>
      <w:bookmarkEnd w:id="74"/>
      <w:r>
        <w:rPr>
          <w:rFonts w:ascii="Times New Roman" w:eastAsia="方正楷体_GBK" w:hAnsi="Times New Roman" w:cs="方正楷体_GBK" w:hint="eastAsia"/>
          <w:bCs/>
        </w:rPr>
        <w:t>指标设置还需进一步规范。</w:t>
      </w:r>
      <w:r>
        <w:rPr>
          <w:rFonts w:ascii="方正仿宋_GBK" w:eastAsia="方正仿宋_GBK" w:hAnsi="方正仿宋_GBK" w:cs="方正仿宋_GBK" w:hint="eastAsia"/>
          <w:sz w:val="32"/>
          <w:szCs w:val="32"/>
        </w:rPr>
        <w:t>部分预算资金的绩效指标设置不完整、不精准，导致评价效果打折扣。一是指标维度不完整。应急救灾物资仓储和采购专项资金绩效指标设置较少，产出指标只设置了</w:t>
      </w:r>
      <w:r>
        <w:rPr>
          <w:rFonts w:ascii="Times New Roman" w:eastAsia="方正仿宋_GBK" w:hAnsi="Times New Roman" w:cs="Times New Roman" w:hint="eastAsia"/>
          <w:sz w:val="32"/>
          <w:szCs w:val="22"/>
        </w:rPr>
        <w:t>1</w:t>
      </w:r>
      <w:r>
        <w:rPr>
          <w:rFonts w:ascii="方正仿宋_GBK" w:eastAsia="方正仿宋_GBK" w:hAnsi="方正仿宋_GBK" w:cs="方正仿宋_GBK" w:hint="eastAsia"/>
          <w:sz w:val="32"/>
          <w:szCs w:val="32"/>
        </w:rPr>
        <w:t>条数量指标，缺少对应的质量指标、时效指标和成本指标，导致评价结果片面，无法全面反映资金使用的综合效能。二是指标标准不清晰。部分经费项目</w:t>
      </w:r>
      <w:r>
        <w:rPr>
          <w:rFonts w:ascii="方正仿宋_GBK" w:eastAsia="方正仿宋_GBK" w:hAnsi="方正仿宋_GBK" w:cs="方正仿宋_GBK"/>
          <w:sz w:val="32"/>
          <w:szCs w:val="32"/>
        </w:rPr>
        <w:t>绩效指标设置不够精</w:t>
      </w:r>
      <w:r>
        <w:rPr>
          <w:rFonts w:ascii="方正仿宋_GBK" w:eastAsia="方正仿宋_GBK" w:hAnsi="方正仿宋_GBK" w:cs="方正仿宋_GBK" w:hint="eastAsia"/>
          <w:sz w:val="32"/>
          <w:szCs w:val="32"/>
        </w:rPr>
        <w:t>准</w:t>
      </w:r>
      <w:r>
        <w:rPr>
          <w:rFonts w:ascii="方正仿宋_GBK" w:eastAsia="方正仿宋_GBK" w:hAnsi="方正仿宋_GBK" w:cs="方正仿宋_GBK"/>
          <w:sz w:val="32"/>
          <w:szCs w:val="32"/>
        </w:rPr>
        <w:t>，</w:t>
      </w:r>
      <w:r>
        <w:rPr>
          <w:rFonts w:ascii="方正仿宋_GBK" w:eastAsia="方正仿宋_GBK" w:hAnsi="方正仿宋_GBK" w:cs="方正仿宋_GBK" w:hint="eastAsia"/>
          <w:sz w:val="32"/>
          <w:szCs w:val="32"/>
        </w:rPr>
        <w:t>如产出指标值设定为“培训效果满意”，效益指标值设定为“技能提升满意”“推动一体化发展水平”等，均缺乏可量化的评价标准，难以横向比较和纵向追踪，导致评价结果模糊。</w:t>
      </w:r>
    </w:p>
    <w:p w:rsidR="001A79DF" w:rsidRDefault="00E70674">
      <w:pPr>
        <w:pStyle w:val="2"/>
        <w:ind w:firstLine="640"/>
        <w:rPr>
          <w:rFonts w:ascii="Times New Roman" w:eastAsia="方正仿宋_GBK" w:hAnsi="Times New Roman" w:cs="方正仿宋_GBK"/>
        </w:rPr>
      </w:pPr>
      <w:bookmarkStart w:id="75" w:name="_Toc22732"/>
      <w:r>
        <w:rPr>
          <w:rFonts w:ascii="Times New Roman" w:eastAsia="方正楷体_GBK" w:hAnsi="Times New Roman" w:cs="方正楷体_GBK" w:hint="eastAsia"/>
        </w:rPr>
        <w:t>（二）绩效运行监控有待进一步加强</w:t>
      </w:r>
      <w:bookmarkEnd w:id="75"/>
      <w:r>
        <w:rPr>
          <w:rFonts w:ascii="Times New Roman" w:eastAsia="方正楷体_GBK" w:hAnsi="Times New Roman" w:cs="方正楷体_GBK" w:hint="eastAsia"/>
        </w:rPr>
        <w:t>。</w:t>
      </w:r>
      <w:r>
        <w:rPr>
          <w:rFonts w:ascii="Times New Roman" w:eastAsia="方正仿宋_GBK" w:hAnsi="Times New Roman" w:cs="Times New Roman"/>
          <w:szCs w:val="22"/>
        </w:rPr>
        <w:t>专项资金的绩效运行监控还不够严密，绩效管理水平还有差距。一是部分专项资金执行效率不高</w:t>
      </w:r>
      <w:r>
        <w:rPr>
          <w:rFonts w:ascii="Times New Roman" w:eastAsia="方正仿宋_GBK" w:hAnsi="Times New Roman" w:cs="Times New Roman" w:hint="eastAsia"/>
          <w:szCs w:val="22"/>
        </w:rPr>
        <w:t>，</w:t>
      </w:r>
      <w:r>
        <w:rPr>
          <w:rFonts w:ascii="方正仿宋_GBK" w:eastAsia="方正仿宋_GBK" w:hAnsi="方正仿宋_GBK" w:cs="方正仿宋_GBK" w:hint="eastAsia"/>
        </w:rPr>
        <w:t>应急救灾物资仓储和采购专项，资金</w:t>
      </w:r>
      <w:r>
        <w:rPr>
          <w:rFonts w:ascii="Times New Roman" w:eastAsia="方正仿宋_GBK" w:hAnsi="Times New Roman" w:cs="Times New Roman"/>
          <w:szCs w:val="22"/>
        </w:rPr>
        <w:t>预算执行率</w:t>
      </w:r>
      <w:r>
        <w:rPr>
          <w:rFonts w:ascii="Times New Roman" w:eastAsia="方正仿宋_GBK" w:hAnsi="Times New Roman" w:cs="Times New Roman" w:hint="eastAsia"/>
          <w:szCs w:val="22"/>
        </w:rPr>
        <w:t>未到</w:t>
      </w:r>
      <w:r>
        <w:rPr>
          <w:rFonts w:ascii="Times New Roman" w:eastAsia="方正仿宋_GBK" w:hAnsi="Times New Roman" w:cs="Times New Roman" w:hint="eastAsia"/>
          <w:szCs w:val="22"/>
        </w:rPr>
        <w:t>80%</w:t>
      </w:r>
      <w:r>
        <w:rPr>
          <w:rFonts w:ascii="Times New Roman" w:eastAsia="方正仿宋_GBK" w:hAnsi="Times New Roman" w:cs="Times New Roman" w:hint="eastAsia"/>
          <w:szCs w:val="22"/>
        </w:rPr>
        <w:t>；</w:t>
      </w:r>
      <w:r>
        <w:rPr>
          <w:rFonts w:ascii="Times New Roman" w:eastAsia="方正仿宋_GBK" w:hAnsi="Times New Roman" w:cs="Times New Roman"/>
          <w:szCs w:val="22"/>
        </w:rPr>
        <w:t>基建发展专项</w:t>
      </w:r>
      <w:r>
        <w:rPr>
          <w:rFonts w:ascii="Times New Roman" w:eastAsia="方正仿宋_GBK" w:hAnsi="Times New Roman" w:cs="Times New Roman" w:hint="eastAsia"/>
          <w:szCs w:val="22"/>
        </w:rPr>
        <w:t>，</w:t>
      </w:r>
      <w:r>
        <w:rPr>
          <w:rFonts w:ascii="Times New Roman" w:eastAsia="方正仿宋_GBK" w:hAnsi="Times New Roman" w:cs="Times New Roman" w:hint="eastAsia"/>
        </w:rPr>
        <w:t>南苑街道相关项目资金拨付滞后，影响项目资金使用效率。</w:t>
      </w:r>
      <w:r>
        <w:rPr>
          <w:rFonts w:ascii="Times New Roman" w:eastAsia="方正仿宋_GBK" w:hAnsi="Times New Roman" w:cs="Times New Roman"/>
          <w:szCs w:val="22"/>
        </w:rPr>
        <w:t>二是部分项目建设进度偏慢。基建发展专项</w:t>
      </w:r>
      <w:r>
        <w:rPr>
          <w:rFonts w:ascii="Times New Roman" w:eastAsia="方正仿宋_GBK" w:hAnsi="Times New Roman" w:cs="Times New Roman" w:hint="eastAsia"/>
          <w:szCs w:val="22"/>
        </w:rPr>
        <w:t>，</w:t>
      </w:r>
      <w:r>
        <w:rPr>
          <w:rFonts w:ascii="Times New Roman" w:eastAsia="方正仿宋_GBK" w:hAnsi="Times New Roman" w:cs="Times New Roman"/>
          <w:szCs w:val="22"/>
        </w:rPr>
        <w:t>由于配套资金未到位、</w:t>
      </w:r>
      <w:r>
        <w:rPr>
          <w:rFonts w:ascii="Times New Roman" w:eastAsia="方正仿宋_GBK" w:hAnsi="Times New Roman" w:cs="Times New Roman" w:hint="eastAsia"/>
        </w:rPr>
        <w:t>项目选址未确定</w:t>
      </w:r>
      <w:r>
        <w:rPr>
          <w:rFonts w:ascii="Times New Roman" w:eastAsia="方正仿宋_GBK" w:hAnsi="Times New Roman" w:cs="Times New Roman"/>
          <w:szCs w:val="22"/>
        </w:rPr>
        <w:t>、施工窗口期未到等原因，</w:t>
      </w:r>
      <w:r>
        <w:rPr>
          <w:rFonts w:ascii="Times New Roman" w:eastAsia="方正仿宋_GBK" w:hAnsi="Times New Roman" w:cs="Times New Roman" w:hint="eastAsia"/>
          <w:szCs w:val="22"/>
        </w:rPr>
        <w:t>部分项目开工不及时</w:t>
      </w:r>
      <w:r>
        <w:rPr>
          <w:rFonts w:ascii="Times New Roman" w:eastAsia="方正仿宋_GBK" w:hAnsi="Times New Roman" w:cs="Times New Roman"/>
          <w:szCs w:val="22"/>
        </w:rPr>
        <w:t>。</w:t>
      </w:r>
    </w:p>
    <w:p w:rsidR="001A79DF" w:rsidRDefault="00E70674">
      <w:pPr>
        <w:pStyle w:val="1"/>
        <w:spacing w:line="560" w:lineRule="exact"/>
        <w:ind w:firstLine="640"/>
        <w:rPr>
          <w:rFonts w:ascii="Times New Roman" w:eastAsia="黑体" w:hAnsi="Times New Roman" w:cs="Times New Roman"/>
          <w:szCs w:val="32"/>
        </w:rPr>
      </w:pPr>
      <w:bookmarkStart w:id="76" w:name="_Toc170474507"/>
      <w:bookmarkStart w:id="77" w:name="_Toc169773126"/>
      <w:bookmarkStart w:id="78" w:name="_Toc13400"/>
      <w:bookmarkStart w:id="79" w:name="_Toc3249"/>
      <w:bookmarkStart w:id="80" w:name="_Toc12732"/>
      <w:bookmarkStart w:id="81" w:name="_Toc16518"/>
      <w:bookmarkStart w:id="82" w:name="_Toc27318"/>
      <w:bookmarkStart w:id="83" w:name="_Toc29533"/>
      <w:bookmarkStart w:id="84" w:name="_Toc3657"/>
      <w:r>
        <w:rPr>
          <w:rFonts w:ascii="Times New Roman" w:eastAsia="黑体" w:hAnsi="Times New Roman" w:cs="Times New Roman"/>
          <w:szCs w:val="32"/>
        </w:rPr>
        <w:t>五、有关建议</w:t>
      </w:r>
      <w:bookmarkEnd w:id="76"/>
      <w:bookmarkEnd w:id="77"/>
      <w:bookmarkEnd w:id="78"/>
      <w:bookmarkEnd w:id="79"/>
      <w:bookmarkEnd w:id="80"/>
      <w:bookmarkEnd w:id="81"/>
      <w:bookmarkEnd w:id="82"/>
      <w:bookmarkEnd w:id="83"/>
      <w:bookmarkEnd w:id="84"/>
    </w:p>
    <w:p w:rsidR="001A79DF" w:rsidRDefault="00E70674">
      <w:pPr>
        <w:spacing w:line="560" w:lineRule="exact"/>
        <w:ind w:firstLine="640"/>
        <w:rPr>
          <w:rFonts w:ascii="Times New Roman" w:hAnsi="Times New Roman" w:cs="方正仿宋_GBK"/>
          <w:sz w:val="32"/>
          <w:szCs w:val="32"/>
        </w:rPr>
      </w:pPr>
      <w:r>
        <w:rPr>
          <w:rFonts w:ascii="Times New Roman" w:eastAsia="方正楷体_GBK" w:hAnsi="Times New Roman" w:cs="方正楷体_GBK" w:hint="eastAsia"/>
          <w:bCs/>
          <w:sz w:val="32"/>
          <w:szCs w:val="32"/>
        </w:rPr>
        <w:t>（一）以“精准化”为导向，进一步优化更新绩效指标库。</w:t>
      </w:r>
      <w:r>
        <w:rPr>
          <w:rFonts w:ascii="Times New Roman" w:hAnsi="Times New Roman" w:cs="方正仿宋_GBK" w:hint="eastAsia"/>
          <w:sz w:val="32"/>
          <w:szCs w:val="32"/>
        </w:rPr>
        <w:t>按照“高度关联、重点突出、量化易评”的优化要求，组织绩效目标编制处室进一步细化、量化核心绩效指标，建</w:t>
      </w:r>
      <w:r>
        <w:rPr>
          <w:rFonts w:ascii="Times New Roman" w:hAnsi="Times New Roman" w:cs="方正仿宋_GBK" w:hint="eastAsia"/>
          <w:sz w:val="32"/>
          <w:szCs w:val="32"/>
        </w:rPr>
        <w:lastRenderedPageBreak/>
        <w:t>立反映履职成效和项目产出效益的部门绩效指标库，实现指标体系的全面覆盖，保持持续优化更新，为提高预算绩效目标编制质量打下坚实基础。</w:t>
      </w:r>
    </w:p>
    <w:p w:rsidR="001A79DF" w:rsidRDefault="00E70674">
      <w:pPr>
        <w:spacing w:line="560" w:lineRule="exact"/>
        <w:ind w:firstLine="640"/>
        <w:rPr>
          <w:rFonts w:ascii="Times New Roman" w:hAnsi="Times New Roman" w:cs="方正仿宋_GBK"/>
          <w:sz w:val="32"/>
          <w:szCs w:val="32"/>
        </w:rPr>
      </w:pPr>
      <w:r>
        <w:rPr>
          <w:rFonts w:ascii="Times New Roman" w:eastAsia="方正楷体_GBK" w:hAnsi="Times New Roman" w:cs="方正楷体_GBK" w:hint="eastAsia"/>
          <w:bCs/>
          <w:sz w:val="32"/>
          <w:szCs w:val="32"/>
        </w:rPr>
        <w:t>（二）以“高效化”为目标，进一步构建高效畅通的监管体系。</w:t>
      </w:r>
      <w:r>
        <w:rPr>
          <w:rFonts w:ascii="Times New Roman" w:hAnsi="Times New Roman" w:cs="方正仿宋_GBK" w:hint="eastAsia"/>
          <w:sz w:val="32"/>
          <w:szCs w:val="32"/>
        </w:rPr>
        <w:t>主管处室要按照“全面科学、准确及时、分析到位、应用有效”的要求，加强专项资金绩效运行监控。一是重点对专项资金的预算执行情况、绩效目标实现程度、组织保障情况实行“动态监控、定期报送”，发现问题及时纠正。二是压实项目申报和主管单位责任，解决资金拨付、施工进度、验收结算等环节的堵点问题，防范潜在风险。</w:t>
      </w:r>
    </w:p>
    <w:p w:rsidR="001A79DF" w:rsidRDefault="00E70674">
      <w:pPr>
        <w:spacing w:line="560" w:lineRule="exact"/>
        <w:ind w:firstLine="640"/>
        <w:rPr>
          <w:rFonts w:ascii="Times New Roman" w:eastAsia="黑体" w:hAnsi="Times New Roman" w:cs="Times New Roman"/>
          <w:bCs/>
          <w:kern w:val="44"/>
          <w:sz w:val="32"/>
          <w:szCs w:val="32"/>
        </w:rPr>
      </w:pPr>
      <w:r>
        <w:rPr>
          <w:rFonts w:ascii="Times New Roman" w:eastAsia="黑体" w:hAnsi="Times New Roman" w:cs="Times New Roman" w:hint="eastAsia"/>
          <w:bCs/>
          <w:kern w:val="44"/>
          <w:sz w:val="32"/>
          <w:szCs w:val="32"/>
        </w:rPr>
        <w:t>六、评价工作开展情况及其他需说明的情况</w:t>
      </w:r>
    </w:p>
    <w:p w:rsidR="001A79DF" w:rsidRDefault="00E70674">
      <w:pPr>
        <w:spacing w:line="560" w:lineRule="exact"/>
        <w:ind w:firstLine="640"/>
        <w:rPr>
          <w:rFonts w:ascii="Times New Roman" w:eastAsia="方正楷体_GBK" w:hAnsi="Times New Roman" w:cs="方正楷体_GBK"/>
          <w:bCs/>
          <w:sz w:val="32"/>
          <w:szCs w:val="32"/>
        </w:rPr>
      </w:pPr>
      <w:r>
        <w:rPr>
          <w:rFonts w:ascii="Times New Roman" w:eastAsia="方正楷体_GBK" w:hAnsi="Times New Roman" w:cs="方正楷体_GBK" w:hint="eastAsia"/>
          <w:bCs/>
          <w:sz w:val="32"/>
          <w:szCs w:val="32"/>
        </w:rPr>
        <w:t>（一）评价思路</w:t>
      </w:r>
    </w:p>
    <w:p w:rsidR="001A79DF" w:rsidRDefault="00E70674">
      <w:pPr>
        <w:spacing w:line="560" w:lineRule="exact"/>
        <w:ind w:firstLine="640"/>
        <w:rPr>
          <w:rFonts w:ascii="Times New Roman" w:hAnsi="Times New Roman" w:cs="方正仿宋_GBK"/>
          <w:color w:val="FF0000"/>
          <w:sz w:val="32"/>
          <w:szCs w:val="32"/>
        </w:rPr>
      </w:pPr>
      <w:r>
        <w:rPr>
          <w:rFonts w:ascii="Times New Roman" w:hAnsi="Times New Roman" w:cs="Times New Roman"/>
          <w:sz w:val="32"/>
        </w:rPr>
        <w:t>本次评价通过指标设计、数据采集、现场核查、数据汇总分析、报告撰写等步骤完成。其中：指标设计对照</w:t>
      </w:r>
      <w:r>
        <w:rPr>
          <w:rFonts w:ascii="Times New Roman" w:hAnsi="Times New Roman" w:cs="Times New Roman"/>
          <w:sz w:val="32"/>
        </w:rPr>
        <w:t>2025</w:t>
      </w:r>
      <w:r>
        <w:rPr>
          <w:rFonts w:ascii="Times New Roman" w:hAnsi="Times New Roman" w:cs="Times New Roman"/>
          <w:sz w:val="32"/>
        </w:rPr>
        <w:t>年度绩效目标，从部门职能、处室职责、中长期规划以及年度重点任务等维度出发；数据采集通过实地考察、访谈、问卷调查等形式实现，采集具有代表性与广泛性的数据，支撑指标体系的评分，进而实现客观科学的评价。</w:t>
      </w:r>
    </w:p>
    <w:p w:rsidR="001A79DF" w:rsidRDefault="00E70674">
      <w:pPr>
        <w:spacing w:line="560" w:lineRule="exact"/>
        <w:ind w:firstLine="64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（二）指标设定</w:t>
      </w:r>
    </w:p>
    <w:p w:rsidR="001A79DF" w:rsidRDefault="00E70674">
      <w:pPr>
        <w:spacing w:line="560" w:lineRule="exact"/>
        <w:ind w:firstLine="640"/>
        <w:rPr>
          <w:rFonts w:ascii="Times New Roman" w:hAnsi="Times New Roman" w:cs="方正仿宋_GBK"/>
          <w:sz w:val="32"/>
          <w:szCs w:val="32"/>
        </w:rPr>
      </w:pPr>
      <w:r>
        <w:rPr>
          <w:rFonts w:ascii="Times New Roman" w:hAnsi="Times New Roman" w:cs="方正仿宋_GBK" w:hint="eastAsia"/>
          <w:sz w:val="32"/>
          <w:szCs w:val="32"/>
        </w:rPr>
        <w:t>本次评价与</w:t>
      </w:r>
      <w:r>
        <w:rPr>
          <w:rFonts w:ascii="Times New Roman" w:hAnsi="Times New Roman" w:cs="方正仿宋_GBK" w:hint="eastAsia"/>
          <w:sz w:val="32"/>
          <w:szCs w:val="32"/>
        </w:rPr>
        <w:t>2025</w:t>
      </w:r>
      <w:r>
        <w:rPr>
          <w:rFonts w:ascii="Times New Roman" w:hAnsi="Times New Roman" w:cs="方正仿宋_GBK" w:hint="eastAsia"/>
          <w:sz w:val="32"/>
          <w:szCs w:val="32"/>
        </w:rPr>
        <w:t>年度绩效目标相对应，从决策、过程、履职、效益和满意度等维度进行综合评价。</w:t>
      </w:r>
    </w:p>
    <w:p w:rsidR="001A79DF" w:rsidRDefault="00E70674">
      <w:pPr>
        <w:spacing w:line="560" w:lineRule="exact"/>
        <w:ind w:firstLine="64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（三）评价方法</w:t>
      </w:r>
    </w:p>
    <w:p w:rsidR="001A79DF" w:rsidRDefault="00E70674">
      <w:pPr>
        <w:spacing w:line="560" w:lineRule="exact"/>
        <w:ind w:firstLineChars="0" w:firstLine="0"/>
        <w:rPr>
          <w:rFonts w:ascii="Times New Roman" w:hAnsi="Times New Roman" w:cs="Times New Roman"/>
          <w:sz w:val="32"/>
        </w:rPr>
      </w:pPr>
      <w:r>
        <w:rPr>
          <w:rFonts w:ascii="Times New Roman" w:hAnsi="Times New Roman" w:cs="Times New Roman" w:hint="eastAsia"/>
          <w:b/>
          <w:bCs/>
          <w:sz w:val="32"/>
        </w:rPr>
        <w:t xml:space="preserve">    </w:t>
      </w:r>
      <w:r>
        <w:rPr>
          <w:rFonts w:ascii="Times New Roman" w:hAnsi="Times New Roman" w:cs="Times New Roman"/>
          <w:sz w:val="32"/>
        </w:rPr>
        <w:t>资料审阅</w:t>
      </w:r>
      <w:r>
        <w:rPr>
          <w:rFonts w:ascii="Times New Roman" w:hAnsi="Times New Roman" w:cs="Times New Roman" w:hint="eastAsia"/>
          <w:sz w:val="32"/>
        </w:rPr>
        <w:t>法</w:t>
      </w:r>
      <w:r>
        <w:rPr>
          <w:rFonts w:ascii="Times New Roman" w:hAnsi="Times New Roman" w:cs="Times New Roman"/>
          <w:sz w:val="32"/>
        </w:rPr>
        <w:t>。通过</w:t>
      </w:r>
      <w:r>
        <w:rPr>
          <w:rFonts w:ascii="Times New Roman" w:hAnsi="Times New Roman" w:cs="Times New Roman" w:hint="eastAsia"/>
          <w:sz w:val="32"/>
        </w:rPr>
        <w:t>对相关政策文件、合同文件、管理制度等基础资料进行审核和深入分析，审核基础资料的完整性、</w:t>
      </w:r>
      <w:r>
        <w:rPr>
          <w:rFonts w:ascii="Times New Roman" w:hAnsi="Times New Roman" w:cs="Times New Roman" w:hint="eastAsia"/>
          <w:sz w:val="32"/>
        </w:rPr>
        <w:lastRenderedPageBreak/>
        <w:t>逻辑性、内在勾</w:t>
      </w:r>
      <w:proofErr w:type="gramStart"/>
      <w:r>
        <w:rPr>
          <w:rFonts w:ascii="Times New Roman" w:hAnsi="Times New Roman" w:cs="Times New Roman" w:hint="eastAsia"/>
          <w:sz w:val="32"/>
        </w:rPr>
        <w:t>稽</w:t>
      </w:r>
      <w:proofErr w:type="gramEnd"/>
      <w:r>
        <w:rPr>
          <w:rFonts w:ascii="Times New Roman" w:hAnsi="Times New Roman" w:cs="Times New Roman" w:hint="eastAsia"/>
          <w:sz w:val="32"/>
        </w:rPr>
        <w:t>关系等方面，</w:t>
      </w:r>
      <w:r>
        <w:rPr>
          <w:rFonts w:ascii="Times New Roman" w:hAnsi="Times New Roman" w:cs="Times New Roman"/>
          <w:sz w:val="32"/>
        </w:rPr>
        <w:t>获取绩效评价有用信息。</w:t>
      </w:r>
    </w:p>
    <w:p w:rsidR="001A79DF" w:rsidRDefault="00E70674">
      <w:pPr>
        <w:spacing w:line="560" w:lineRule="exact"/>
        <w:ind w:firstLineChars="0" w:firstLine="0"/>
        <w:rPr>
          <w:rFonts w:ascii="Times New Roman" w:hAnsi="Times New Roman" w:cs="Times New Roman"/>
          <w:sz w:val="32"/>
        </w:rPr>
      </w:pPr>
      <w:r>
        <w:rPr>
          <w:rFonts w:ascii="Times New Roman" w:hAnsi="Times New Roman" w:cs="Times New Roman"/>
          <w:sz w:val="32"/>
        </w:rPr>
        <w:t xml:space="preserve">    </w:t>
      </w:r>
      <w:r>
        <w:rPr>
          <w:rFonts w:ascii="Times New Roman" w:hAnsi="Times New Roman" w:cs="Times New Roman" w:hint="eastAsia"/>
          <w:sz w:val="32"/>
        </w:rPr>
        <w:t>现地调研法</w:t>
      </w:r>
      <w:r>
        <w:rPr>
          <w:rFonts w:ascii="Times New Roman" w:hAnsi="Times New Roman" w:cs="Times New Roman"/>
          <w:sz w:val="32"/>
        </w:rPr>
        <w:t>。</w:t>
      </w:r>
      <w:r>
        <w:rPr>
          <w:rFonts w:ascii="Times New Roman" w:hAnsi="Times New Roman" w:cs="Times New Roman" w:hint="eastAsia"/>
          <w:sz w:val="32"/>
        </w:rPr>
        <w:t>实地勘测、核实、了解评价对象的具体做法和相关依据等，将现场情况与提供材料进行对比，对疑点问题进行询问了解，听取并记录相关解释和答复。</w:t>
      </w:r>
    </w:p>
    <w:p w:rsidR="001A79DF" w:rsidRDefault="00E70674">
      <w:pPr>
        <w:spacing w:line="560" w:lineRule="exact"/>
        <w:ind w:firstLine="640"/>
        <w:rPr>
          <w:rFonts w:ascii="Times New Roman" w:hAnsi="Times New Roman" w:cs="Times New Roman"/>
          <w:sz w:val="32"/>
        </w:rPr>
      </w:pPr>
      <w:r>
        <w:rPr>
          <w:rFonts w:ascii="Times New Roman" w:hAnsi="Times New Roman" w:cs="Times New Roman" w:hint="eastAsia"/>
          <w:sz w:val="32"/>
        </w:rPr>
        <w:t>公众评判</w:t>
      </w:r>
      <w:r>
        <w:rPr>
          <w:rFonts w:ascii="Times New Roman" w:hAnsi="Times New Roman" w:cs="Times New Roman"/>
          <w:sz w:val="32"/>
        </w:rPr>
        <w:t>法。</w:t>
      </w:r>
      <w:r>
        <w:rPr>
          <w:rFonts w:ascii="Times New Roman" w:hAnsi="Times New Roman" w:cs="Times New Roman" w:hint="eastAsia"/>
          <w:sz w:val="32"/>
        </w:rPr>
        <w:t>通过线上、线下结合的方式进行电话回访、满意度调查，对项目实施效果进行评判，收集相关方政策知晓率及满意度。</w:t>
      </w:r>
    </w:p>
    <w:p w:rsidR="001A79DF" w:rsidRDefault="00E70674">
      <w:pPr>
        <w:spacing w:line="560" w:lineRule="exact"/>
        <w:ind w:firstLine="64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（四）评价组织实施</w:t>
      </w:r>
    </w:p>
    <w:p w:rsidR="001A79DF" w:rsidRDefault="00E70674">
      <w:pPr>
        <w:spacing w:line="560" w:lineRule="exact"/>
        <w:ind w:firstLine="640"/>
        <w:rPr>
          <w:rFonts w:ascii="Times New Roman" w:hAnsi="Times New Roman" w:cs="Times New Roman"/>
          <w:sz w:val="32"/>
        </w:rPr>
      </w:pPr>
      <w:r>
        <w:rPr>
          <w:rFonts w:ascii="Times New Roman" w:hAnsi="Times New Roman" w:cs="Times New Roman"/>
          <w:sz w:val="32"/>
        </w:rPr>
        <w:t>本次绩效评价成立评价小组，</w:t>
      </w:r>
      <w:r>
        <w:rPr>
          <w:rFonts w:ascii="Times New Roman" w:hAnsi="Times New Roman" w:cs="Times New Roman" w:hint="eastAsia"/>
          <w:sz w:val="32"/>
        </w:rPr>
        <w:t>成员</w:t>
      </w:r>
      <w:proofErr w:type="gramStart"/>
      <w:r>
        <w:rPr>
          <w:rFonts w:ascii="Times New Roman" w:hAnsi="Times New Roman" w:cs="Times New Roman"/>
          <w:sz w:val="32"/>
        </w:rPr>
        <w:t>由评督</w:t>
      </w:r>
      <w:proofErr w:type="gramEnd"/>
      <w:r>
        <w:rPr>
          <w:rFonts w:ascii="Times New Roman" w:hAnsi="Times New Roman" w:cs="Times New Roman"/>
          <w:sz w:val="32"/>
        </w:rPr>
        <w:t>处、财务处、办公室、人事处、机关纪委人员组成</w:t>
      </w:r>
      <w:r>
        <w:rPr>
          <w:rFonts w:ascii="Times New Roman" w:hAnsi="Times New Roman" w:cs="Times New Roman" w:hint="eastAsia"/>
          <w:sz w:val="32"/>
        </w:rPr>
        <w:t>，负责</w:t>
      </w:r>
      <w:r>
        <w:rPr>
          <w:rFonts w:ascii="Times New Roman" w:hAnsi="Times New Roman" w:cs="Times New Roman"/>
          <w:sz w:val="32"/>
        </w:rPr>
        <w:t>制定部门整体绩效评价工作计划</w:t>
      </w:r>
      <w:r>
        <w:rPr>
          <w:rFonts w:ascii="Times New Roman" w:hAnsi="Times New Roman" w:cs="Times New Roman" w:hint="eastAsia"/>
          <w:sz w:val="32"/>
        </w:rPr>
        <w:t>、收集原始资料、现地调研核实、分析对比评价工作</w:t>
      </w:r>
      <w:r>
        <w:rPr>
          <w:rFonts w:ascii="Times New Roman" w:hAnsi="Times New Roman" w:cs="Times New Roman"/>
          <w:sz w:val="32"/>
        </w:rPr>
        <w:t>。通过前期</w:t>
      </w:r>
      <w:r>
        <w:rPr>
          <w:rFonts w:ascii="Times New Roman" w:hAnsi="Times New Roman" w:cs="Times New Roman" w:hint="eastAsia"/>
          <w:sz w:val="32"/>
        </w:rPr>
        <w:t>工作</w:t>
      </w:r>
      <w:r>
        <w:rPr>
          <w:rFonts w:ascii="Times New Roman" w:hAnsi="Times New Roman" w:cs="Times New Roman"/>
          <w:sz w:val="32"/>
        </w:rPr>
        <w:t>、</w:t>
      </w:r>
      <w:r>
        <w:rPr>
          <w:rFonts w:ascii="Times New Roman" w:hAnsi="Times New Roman" w:cs="Times New Roman" w:hint="eastAsia"/>
          <w:sz w:val="32"/>
        </w:rPr>
        <w:t>材料收集</w:t>
      </w:r>
      <w:r>
        <w:rPr>
          <w:rFonts w:ascii="Times New Roman" w:hAnsi="Times New Roman" w:cs="Times New Roman"/>
          <w:sz w:val="32"/>
        </w:rPr>
        <w:t>、</w:t>
      </w:r>
      <w:r>
        <w:rPr>
          <w:rFonts w:ascii="Times New Roman" w:hAnsi="Times New Roman" w:cs="Times New Roman" w:hint="eastAsia"/>
          <w:sz w:val="32"/>
        </w:rPr>
        <w:t>实地考察、分析比较</w:t>
      </w:r>
      <w:r>
        <w:rPr>
          <w:rFonts w:ascii="Times New Roman" w:hAnsi="Times New Roman" w:cs="Times New Roman"/>
          <w:sz w:val="32"/>
        </w:rPr>
        <w:t>和</w:t>
      </w:r>
      <w:r>
        <w:rPr>
          <w:rFonts w:ascii="Times New Roman" w:hAnsi="Times New Roman" w:cs="Times New Roman" w:hint="eastAsia"/>
          <w:sz w:val="32"/>
        </w:rPr>
        <w:t>报告会审等</w:t>
      </w:r>
      <w:r>
        <w:rPr>
          <w:rFonts w:ascii="Times New Roman" w:hAnsi="Times New Roman" w:cs="Times New Roman"/>
          <w:sz w:val="32"/>
        </w:rPr>
        <w:t>阶段实施具体评价工作。</w:t>
      </w:r>
    </w:p>
    <w:p w:rsidR="001A79DF" w:rsidRDefault="00E70674">
      <w:pPr>
        <w:spacing w:line="560" w:lineRule="exact"/>
        <w:ind w:firstLineChars="0" w:firstLine="0"/>
        <w:rPr>
          <w:rFonts w:ascii="Times New Roman" w:eastAsia="方正楷体_GBK" w:hAnsi="Times New Roman" w:cs="Times New Roman"/>
          <w:sz w:val="32"/>
        </w:rPr>
      </w:pPr>
      <w:r>
        <w:rPr>
          <w:rFonts w:ascii="Times New Roman" w:eastAsia="方正楷体_GBK" w:hAnsi="Times New Roman" w:cs="Times New Roman"/>
          <w:sz w:val="32"/>
        </w:rPr>
        <w:t xml:space="preserve">  </w:t>
      </w:r>
      <w:r>
        <w:rPr>
          <w:rFonts w:ascii="Times New Roman" w:hAnsi="Times New Roman" w:cs="Times New Roman"/>
          <w:b/>
          <w:bCs/>
          <w:sz w:val="32"/>
        </w:rPr>
        <w:t xml:space="preserve">  1.</w:t>
      </w:r>
      <w:r>
        <w:rPr>
          <w:rFonts w:ascii="Times New Roman" w:hAnsi="Times New Roman" w:cs="Times New Roman"/>
          <w:b/>
          <w:bCs/>
          <w:sz w:val="32"/>
        </w:rPr>
        <w:t>前期工作</w:t>
      </w:r>
    </w:p>
    <w:p w:rsidR="001A79DF" w:rsidRDefault="00E70674">
      <w:pPr>
        <w:spacing w:line="560" w:lineRule="exact"/>
        <w:ind w:firstLine="640"/>
        <w:rPr>
          <w:rFonts w:ascii="Times New Roman" w:hAnsi="Times New Roman" w:cs="Times New Roman"/>
          <w:sz w:val="32"/>
        </w:rPr>
      </w:pPr>
      <w:r>
        <w:rPr>
          <w:rFonts w:ascii="Times New Roman" w:hAnsi="Times New Roman" w:cs="Times New Roman"/>
          <w:sz w:val="32"/>
        </w:rPr>
        <w:t>制定绩效</w:t>
      </w:r>
      <w:proofErr w:type="gramStart"/>
      <w:r>
        <w:rPr>
          <w:rFonts w:ascii="Times New Roman" w:hAnsi="Times New Roman" w:cs="Times New Roman"/>
          <w:sz w:val="32"/>
        </w:rPr>
        <w:t>自评价</w:t>
      </w:r>
      <w:proofErr w:type="gramEnd"/>
      <w:r>
        <w:rPr>
          <w:rFonts w:ascii="Times New Roman" w:hAnsi="Times New Roman" w:cs="Times New Roman"/>
          <w:sz w:val="32"/>
        </w:rPr>
        <w:t>工作方案，召开绩效</w:t>
      </w:r>
      <w:proofErr w:type="gramStart"/>
      <w:r>
        <w:rPr>
          <w:rFonts w:ascii="Times New Roman" w:hAnsi="Times New Roman" w:cs="Times New Roman"/>
          <w:sz w:val="32"/>
        </w:rPr>
        <w:t>自评价</w:t>
      </w:r>
      <w:proofErr w:type="gramEnd"/>
      <w:r>
        <w:rPr>
          <w:rFonts w:ascii="Times New Roman" w:hAnsi="Times New Roman" w:cs="Times New Roman"/>
          <w:sz w:val="32"/>
        </w:rPr>
        <w:t>工作启动会。成立专项资金绩效评价小组，对相关评价资料进行分析和汇总，结合政策研读和绩效目标情况形成绩效评价依据，并分别制定各专项资金绩效评价工作计划。成立部门整体绩效评价小组，通过对政策文件的学习、</w:t>
      </w:r>
      <w:r>
        <w:rPr>
          <w:rFonts w:ascii="Times New Roman" w:hAnsi="Times New Roman" w:cs="Times New Roman" w:hint="eastAsia"/>
          <w:sz w:val="32"/>
        </w:rPr>
        <w:t>预算</w:t>
      </w:r>
      <w:r>
        <w:rPr>
          <w:rFonts w:ascii="Times New Roman" w:hAnsi="Times New Roman" w:cs="Times New Roman"/>
          <w:sz w:val="32"/>
        </w:rPr>
        <w:t>资金项目内容及特点的了解，确定评价目的、范围和原则，制定部门整体绩效评价工作计划。</w:t>
      </w:r>
    </w:p>
    <w:p w:rsidR="001A79DF" w:rsidRDefault="00E70674">
      <w:pPr>
        <w:spacing w:line="560" w:lineRule="exact"/>
        <w:ind w:firstLineChars="0" w:firstLine="0"/>
        <w:rPr>
          <w:rFonts w:ascii="Times New Roman" w:hAnsi="Times New Roman" w:cs="Times New Roman"/>
          <w:b/>
          <w:bCs/>
          <w:sz w:val="32"/>
        </w:rPr>
      </w:pPr>
      <w:r>
        <w:rPr>
          <w:rFonts w:ascii="Times New Roman" w:hAnsi="Times New Roman" w:cs="Times New Roman"/>
          <w:b/>
          <w:bCs/>
          <w:sz w:val="32"/>
        </w:rPr>
        <w:t xml:space="preserve">    2.</w:t>
      </w:r>
      <w:r>
        <w:rPr>
          <w:rFonts w:ascii="Times New Roman" w:hAnsi="Times New Roman" w:cs="Times New Roman"/>
          <w:b/>
          <w:bCs/>
          <w:sz w:val="32"/>
        </w:rPr>
        <w:t>材料收集</w:t>
      </w:r>
    </w:p>
    <w:p w:rsidR="001A79DF" w:rsidRDefault="00E70674">
      <w:pPr>
        <w:spacing w:line="560" w:lineRule="exact"/>
        <w:ind w:firstLine="640"/>
        <w:rPr>
          <w:rFonts w:ascii="Times New Roman" w:eastAsia="方正楷体_GBK" w:hAnsi="Times New Roman" w:cs="Times New Roman"/>
          <w:sz w:val="32"/>
        </w:rPr>
      </w:pPr>
      <w:r>
        <w:rPr>
          <w:rFonts w:ascii="Times New Roman" w:hAnsi="Times New Roman" w:cs="Times New Roman"/>
          <w:sz w:val="32"/>
        </w:rPr>
        <w:t>部门整体绩效评价小组开展</w:t>
      </w:r>
      <w:proofErr w:type="gramStart"/>
      <w:r>
        <w:rPr>
          <w:rFonts w:ascii="Times New Roman" w:hAnsi="Times New Roman" w:cs="Times New Roman" w:hint="eastAsia"/>
          <w:sz w:val="32"/>
        </w:rPr>
        <w:t>自</w:t>
      </w:r>
      <w:r>
        <w:rPr>
          <w:rFonts w:ascii="Times New Roman" w:hAnsi="Times New Roman" w:cs="Times New Roman"/>
          <w:sz w:val="32"/>
        </w:rPr>
        <w:t>评价</w:t>
      </w:r>
      <w:proofErr w:type="gramEnd"/>
      <w:r>
        <w:rPr>
          <w:rFonts w:ascii="Times New Roman" w:hAnsi="Times New Roman" w:cs="Times New Roman"/>
          <w:sz w:val="32"/>
        </w:rPr>
        <w:t>材料收集工作，完善评价基础资料</w:t>
      </w:r>
      <w:r>
        <w:rPr>
          <w:rFonts w:ascii="Times New Roman" w:eastAsia="方正楷体_GBK" w:hAnsi="Times New Roman" w:cs="Times New Roman"/>
          <w:sz w:val="32"/>
        </w:rPr>
        <w:t>。</w:t>
      </w:r>
      <w:r>
        <w:rPr>
          <w:rFonts w:ascii="Times New Roman" w:hAnsi="Times New Roman" w:cs="Times New Roman"/>
          <w:sz w:val="32"/>
        </w:rPr>
        <w:t>专项资金绩效评价小组</w:t>
      </w:r>
      <w:r>
        <w:rPr>
          <w:rFonts w:ascii="Times New Roman" w:hAnsi="Times New Roman" w:cs="Times New Roman" w:hint="eastAsia"/>
          <w:sz w:val="32"/>
        </w:rPr>
        <w:t>向项目单位下发绩效</w:t>
      </w:r>
      <w:r>
        <w:rPr>
          <w:rFonts w:ascii="Times New Roman" w:hAnsi="Times New Roman" w:cs="Times New Roman" w:hint="eastAsia"/>
          <w:sz w:val="32"/>
        </w:rPr>
        <w:lastRenderedPageBreak/>
        <w:t>评价资料收集和实地考察通知。</w:t>
      </w:r>
    </w:p>
    <w:p w:rsidR="001A79DF" w:rsidRDefault="00E70674">
      <w:pPr>
        <w:spacing w:line="560" w:lineRule="exact"/>
        <w:ind w:firstLineChars="0" w:firstLine="0"/>
        <w:rPr>
          <w:rFonts w:ascii="Times New Roman" w:eastAsia="方正楷体_GBK" w:hAnsi="Times New Roman" w:cs="Times New Roman"/>
          <w:sz w:val="32"/>
        </w:rPr>
      </w:pPr>
      <w:r>
        <w:rPr>
          <w:rFonts w:ascii="Times New Roman" w:eastAsia="方正楷体_GBK" w:hAnsi="Times New Roman" w:cs="Times New Roman"/>
          <w:sz w:val="32"/>
        </w:rPr>
        <w:t xml:space="preserve">    </w:t>
      </w:r>
      <w:r>
        <w:rPr>
          <w:rFonts w:ascii="Times New Roman" w:hAnsi="Times New Roman" w:cs="Times New Roman"/>
          <w:b/>
          <w:bCs/>
          <w:sz w:val="32"/>
        </w:rPr>
        <w:t>3.</w:t>
      </w:r>
      <w:r>
        <w:rPr>
          <w:rFonts w:ascii="Times New Roman" w:hAnsi="Times New Roman" w:cs="Times New Roman"/>
          <w:b/>
          <w:bCs/>
          <w:sz w:val="32"/>
        </w:rPr>
        <w:t>实地</w:t>
      </w:r>
      <w:r>
        <w:rPr>
          <w:rFonts w:ascii="Times New Roman" w:hAnsi="Times New Roman" w:cs="Times New Roman" w:hint="eastAsia"/>
          <w:b/>
          <w:bCs/>
          <w:sz w:val="32"/>
        </w:rPr>
        <w:t>考察</w:t>
      </w:r>
    </w:p>
    <w:p w:rsidR="001A79DF" w:rsidRDefault="00E70674">
      <w:pPr>
        <w:spacing w:line="560" w:lineRule="exact"/>
        <w:ind w:firstLine="640"/>
        <w:rPr>
          <w:rFonts w:ascii="Times New Roman" w:eastAsia="方正楷体_GBK" w:hAnsi="Times New Roman" w:cs="Times New Roman"/>
          <w:sz w:val="32"/>
        </w:rPr>
      </w:pPr>
      <w:r>
        <w:rPr>
          <w:rFonts w:ascii="Times New Roman" w:hAnsi="Times New Roman" w:cs="Times New Roman"/>
          <w:sz w:val="32"/>
        </w:rPr>
        <w:t>专项资金绩效评价小组根据调研计划开展实地考察、组织满意度问卷调查等工作。部门整体绩效评价小组就年度绩效目标及实施效果通过问卷调查、访谈座谈等做深入了解，形成整体绩效评价指标体系。</w:t>
      </w:r>
    </w:p>
    <w:p w:rsidR="001A79DF" w:rsidRDefault="00E70674">
      <w:pPr>
        <w:spacing w:line="560" w:lineRule="exact"/>
        <w:ind w:firstLineChars="0" w:firstLine="0"/>
        <w:rPr>
          <w:rFonts w:ascii="Times New Roman" w:hAnsi="Times New Roman" w:cs="Times New Roman"/>
          <w:b/>
          <w:bCs/>
          <w:sz w:val="32"/>
        </w:rPr>
      </w:pPr>
      <w:r>
        <w:rPr>
          <w:rFonts w:ascii="Times New Roman" w:hAnsi="Times New Roman" w:cs="Times New Roman"/>
          <w:b/>
          <w:bCs/>
          <w:sz w:val="32"/>
        </w:rPr>
        <w:t xml:space="preserve">    4.</w:t>
      </w:r>
      <w:r>
        <w:rPr>
          <w:rFonts w:ascii="Times New Roman" w:hAnsi="Times New Roman" w:cs="Times New Roman" w:hint="eastAsia"/>
          <w:b/>
          <w:bCs/>
          <w:sz w:val="32"/>
        </w:rPr>
        <w:t>撰写报告</w:t>
      </w:r>
    </w:p>
    <w:p w:rsidR="001A79DF" w:rsidRDefault="00E70674">
      <w:pPr>
        <w:spacing w:line="560" w:lineRule="exact"/>
        <w:ind w:firstLine="640"/>
        <w:rPr>
          <w:rFonts w:ascii="Times New Roman" w:hAnsi="Times New Roman" w:cs="Times New Roman"/>
          <w:sz w:val="32"/>
        </w:rPr>
      </w:pPr>
      <w:r>
        <w:rPr>
          <w:rFonts w:ascii="Times New Roman" w:hAnsi="Times New Roman" w:cs="Times New Roman" w:hint="eastAsia"/>
          <w:sz w:val="32"/>
        </w:rPr>
        <w:t>各绩效</w:t>
      </w:r>
      <w:r>
        <w:rPr>
          <w:rFonts w:ascii="Times New Roman" w:hAnsi="Times New Roman" w:cs="Times New Roman"/>
          <w:sz w:val="32"/>
        </w:rPr>
        <w:t>评价小组汇总、整理基础数据等资料，综合应用因素分析法、比较法等方法，进行绩效分析</w:t>
      </w:r>
      <w:r>
        <w:rPr>
          <w:rFonts w:ascii="Times New Roman" w:hAnsi="Times New Roman" w:cs="Times New Roman" w:hint="eastAsia"/>
          <w:sz w:val="32"/>
        </w:rPr>
        <w:t>、</w:t>
      </w:r>
      <w:r>
        <w:rPr>
          <w:rFonts w:ascii="Times New Roman" w:hAnsi="Times New Roman" w:cs="Times New Roman"/>
          <w:sz w:val="32"/>
        </w:rPr>
        <w:t>量化打分，形成评价结论，完成</w:t>
      </w:r>
      <w:r>
        <w:rPr>
          <w:rFonts w:ascii="Times New Roman" w:hAnsi="Times New Roman" w:cs="Times New Roman" w:hint="eastAsia"/>
          <w:sz w:val="32"/>
        </w:rPr>
        <w:t>各专项资金</w:t>
      </w:r>
      <w:r>
        <w:rPr>
          <w:rFonts w:ascii="Times New Roman" w:hAnsi="Times New Roman" w:cs="Times New Roman"/>
          <w:sz w:val="32"/>
        </w:rPr>
        <w:t>绩效评价报告</w:t>
      </w:r>
      <w:r>
        <w:rPr>
          <w:rFonts w:ascii="Times New Roman" w:hAnsi="Times New Roman" w:cs="Times New Roman" w:hint="eastAsia"/>
          <w:sz w:val="32"/>
        </w:rPr>
        <w:t>和部门整体绩效自评价报告</w:t>
      </w:r>
      <w:r>
        <w:rPr>
          <w:rFonts w:ascii="Times New Roman" w:hAnsi="Times New Roman" w:cs="Times New Roman"/>
          <w:sz w:val="32"/>
        </w:rPr>
        <w:t>。</w:t>
      </w:r>
    </w:p>
    <w:p w:rsidR="001A79DF" w:rsidRDefault="001A79DF">
      <w:pPr>
        <w:spacing w:line="560" w:lineRule="exact"/>
        <w:ind w:firstLine="640"/>
        <w:rPr>
          <w:rFonts w:ascii="Times New Roman" w:hAnsi="Times New Roman" w:cs="方正仿宋_GBK"/>
          <w:sz w:val="32"/>
          <w:szCs w:val="32"/>
        </w:rPr>
      </w:pPr>
    </w:p>
    <w:p w:rsidR="001A79DF" w:rsidRDefault="00E70674">
      <w:pPr>
        <w:spacing w:line="560" w:lineRule="exact"/>
        <w:ind w:firstLine="640"/>
        <w:rPr>
          <w:rFonts w:ascii="Times New Roman" w:hAnsi="Times New Roman" w:cs="方正仿宋_GBK"/>
          <w:sz w:val="32"/>
          <w:szCs w:val="32"/>
        </w:rPr>
        <w:sectPr w:rsidR="001A79DF">
          <w:footerReference w:type="default" r:id="rId9"/>
          <w:pgSz w:w="11906" w:h="16838"/>
          <w:pgMar w:top="1440" w:right="1800" w:bottom="1440" w:left="1800" w:header="851" w:footer="992" w:gutter="0"/>
          <w:pgNumType w:start="1"/>
          <w:cols w:space="425"/>
          <w:docGrid w:type="lines" w:linePitch="312"/>
        </w:sectPr>
      </w:pPr>
      <w:r>
        <w:rPr>
          <w:rFonts w:ascii="Times New Roman" w:hAnsi="Times New Roman" w:cs="方正仿宋_GBK" w:hint="eastAsia"/>
          <w:sz w:val="32"/>
          <w:szCs w:val="32"/>
        </w:rPr>
        <w:t>附件：</w:t>
      </w:r>
      <w:r>
        <w:rPr>
          <w:rFonts w:ascii="Times New Roman" w:hAnsi="Times New Roman" w:cs="方正仿宋_GBK" w:hint="eastAsia"/>
          <w:sz w:val="32"/>
          <w:szCs w:val="32"/>
        </w:rPr>
        <w:t>2025</w:t>
      </w:r>
      <w:r>
        <w:rPr>
          <w:rFonts w:ascii="Times New Roman" w:hAnsi="Times New Roman" w:cs="方正仿宋_GBK" w:hint="eastAsia"/>
          <w:sz w:val="32"/>
          <w:szCs w:val="32"/>
        </w:rPr>
        <w:t>年度南京市发展和改革委员会部门整体绩效评价评分表</w:t>
      </w:r>
    </w:p>
    <w:p w:rsidR="001A79DF" w:rsidRDefault="00E70674">
      <w:pPr>
        <w:spacing w:line="560" w:lineRule="exact"/>
        <w:ind w:firstLineChars="0" w:firstLine="0"/>
        <w:outlineLvl w:val="1"/>
        <w:rPr>
          <w:rFonts w:ascii="Times New Roman" w:eastAsia="黑体" w:hAnsi="Times New Roman" w:cs="黑体"/>
          <w:sz w:val="28"/>
          <w:szCs w:val="28"/>
        </w:rPr>
      </w:pPr>
      <w:bookmarkStart w:id="85" w:name="_Toc18303"/>
      <w:bookmarkStart w:id="86" w:name="_Toc28980"/>
      <w:bookmarkStart w:id="87" w:name="_Toc170474511"/>
      <w:r>
        <w:rPr>
          <w:rFonts w:ascii="Times New Roman" w:eastAsia="黑体" w:hAnsi="Times New Roman" w:cs="黑体" w:hint="eastAsia"/>
          <w:sz w:val="28"/>
          <w:szCs w:val="28"/>
        </w:rPr>
        <w:lastRenderedPageBreak/>
        <w:t>附件</w:t>
      </w:r>
      <w:bookmarkEnd w:id="85"/>
      <w:bookmarkEnd w:id="86"/>
      <w:bookmarkEnd w:id="87"/>
    </w:p>
    <w:p w:rsidR="001A79DF" w:rsidRDefault="00E70674">
      <w:pPr>
        <w:widowControl/>
        <w:spacing w:line="560" w:lineRule="exact"/>
        <w:ind w:firstLine="560"/>
        <w:jc w:val="center"/>
        <w:textAlignment w:val="center"/>
        <w:rPr>
          <w:rFonts w:ascii="Times New Roman" w:eastAsia="方正小标宋_GBK" w:hAnsi="Times New Roman" w:cs="方正小标宋_GBK"/>
          <w:kern w:val="0"/>
          <w:sz w:val="28"/>
          <w:szCs w:val="28"/>
          <w:lang w:bidi="ar"/>
        </w:rPr>
      </w:pPr>
      <w:r>
        <w:rPr>
          <w:rFonts w:ascii="Times New Roman" w:eastAsia="方正小标宋_GBK" w:hAnsi="Times New Roman" w:cs="方正小标宋_GBK" w:hint="eastAsia"/>
          <w:kern w:val="0"/>
          <w:sz w:val="28"/>
          <w:szCs w:val="28"/>
          <w:lang w:bidi="ar"/>
        </w:rPr>
        <w:t>2025</w:t>
      </w:r>
      <w:r>
        <w:rPr>
          <w:rFonts w:ascii="Times New Roman" w:eastAsia="方正小标宋_GBK" w:hAnsi="Times New Roman" w:cs="方正小标宋_GBK" w:hint="eastAsia"/>
          <w:kern w:val="0"/>
          <w:sz w:val="28"/>
          <w:szCs w:val="28"/>
          <w:lang w:bidi="ar"/>
        </w:rPr>
        <w:t>年度南京市发展和改革委员会部门整体绩效评价评分表</w:t>
      </w:r>
    </w:p>
    <w:tbl>
      <w:tblPr>
        <w:tblW w:w="4996" w:type="pct"/>
        <w:tblLayout w:type="fixed"/>
        <w:tblLook w:val="04A0" w:firstRow="1" w:lastRow="0" w:firstColumn="1" w:lastColumn="0" w:noHBand="0" w:noVBand="1"/>
      </w:tblPr>
      <w:tblGrid>
        <w:gridCol w:w="746"/>
        <w:gridCol w:w="910"/>
        <w:gridCol w:w="1389"/>
        <w:gridCol w:w="2255"/>
        <w:gridCol w:w="4634"/>
        <w:gridCol w:w="785"/>
        <w:gridCol w:w="748"/>
        <w:gridCol w:w="736"/>
        <w:gridCol w:w="1960"/>
      </w:tblGrid>
      <w:tr w:rsidR="001A79DF">
        <w:trPr>
          <w:trHeight w:val="23"/>
          <w:tblHeader/>
        </w:trPr>
        <w:tc>
          <w:tcPr>
            <w:tcW w:w="263" w:type="pct"/>
            <w:tcBorders>
              <w:top w:val="single" w:sz="4" w:space="0" w:color="auto"/>
              <w:left w:val="single" w:sz="4" w:space="0" w:color="auto"/>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textAlignment w:val="center"/>
              <w:rPr>
                <w:rFonts w:ascii="Times New Roman" w:eastAsia="方正公文小标宋" w:hAnsi="Times New Roman" w:cs="方正公文小标宋"/>
                <w:kern w:val="0"/>
                <w:sz w:val="24"/>
                <w:szCs w:val="24"/>
                <w:lang w:bidi="ar"/>
              </w:rPr>
            </w:pPr>
            <w:r>
              <w:rPr>
                <w:rFonts w:ascii="Times New Roman" w:eastAsia="方正公文小标宋" w:hAnsi="Times New Roman" w:cs="方正公文小标宋" w:hint="eastAsia"/>
                <w:kern w:val="0"/>
                <w:sz w:val="24"/>
                <w:szCs w:val="24"/>
                <w:lang w:bidi="ar"/>
              </w:rPr>
              <w:t>一级指标</w:t>
            </w:r>
          </w:p>
        </w:tc>
        <w:tc>
          <w:tcPr>
            <w:tcW w:w="321" w:type="pct"/>
            <w:tcBorders>
              <w:top w:val="single" w:sz="4" w:space="0" w:color="auto"/>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textAlignment w:val="center"/>
              <w:rPr>
                <w:rFonts w:ascii="Times New Roman" w:eastAsia="方正公文小标宋" w:hAnsi="Times New Roman" w:cs="方正公文小标宋"/>
                <w:kern w:val="0"/>
                <w:sz w:val="24"/>
                <w:szCs w:val="24"/>
                <w:lang w:bidi="ar"/>
              </w:rPr>
            </w:pPr>
            <w:r>
              <w:rPr>
                <w:rFonts w:ascii="Times New Roman" w:eastAsia="方正公文小标宋" w:hAnsi="Times New Roman" w:cs="方正公文小标宋" w:hint="eastAsia"/>
                <w:kern w:val="0"/>
                <w:sz w:val="24"/>
                <w:szCs w:val="24"/>
                <w:lang w:bidi="ar"/>
              </w:rPr>
              <w:t>二级指标</w:t>
            </w:r>
          </w:p>
        </w:tc>
        <w:tc>
          <w:tcPr>
            <w:tcW w:w="490" w:type="pct"/>
            <w:tcBorders>
              <w:top w:val="single" w:sz="4" w:space="0" w:color="auto"/>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textAlignment w:val="center"/>
              <w:rPr>
                <w:rFonts w:ascii="Times New Roman" w:eastAsia="方正公文小标宋" w:hAnsi="Times New Roman" w:cs="方正公文小标宋"/>
                <w:kern w:val="0"/>
                <w:sz w:val="24"/>
                <w:szCs w:val="24"/>
                <w:lang w:bidi="ar"/>
              </w:rPr>
            </w:pPr>
            <w:r>
              <w:rPr>
                <w:rFonts w:ascii="Times New Roman" w:eastAsia="方正公文小标宋" w:hAnsi="Times New Roman" w:cs="方正公文小标宋" w:hint="eastAsia"/>
                <w:kern w:val="0"/>
                <w:sz w:val="24"/>
                <w:szCs w:val="24"/>
                <w:lang w:bidi="ar"/>
              </w:rPr>
              <w:t>三级指标</w:t>
            </w:r>
          </w:p>
        </w:tc>
        <w:tc>
          <w:tcPr>
            <w:tcW w:w="795" w:type="pct"/>
            <w:tcBorders>
              <w:top w:val="single" w:sz="4" w:space="0" w:color="auto"/>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textAlignment w:val="center"/>
              <w:rPr>
                <w:rFonts w:ascii="Times New Roman" w:eastAsia="方正公文小标宋" w:hAnsi="Times New Roman" w:cs="方正公文小标宋"/>
                <w:kern w:val="0"/>
                <w:sz w:val="24"/>
                <w:szCs w:val="24"/>
                <w:lang w:bidi="ar"/>
              </w:rPr>
            </w:pPr>
            <w:r>
              <w:rPr>
                <w:rFonts w:ascii="Times New Roman" w:eastAsia="方正公文小标宋" w:hAnsi="Times New Roman" w:cs="方正公文小标宋" w:hint="eastAsia"/>
                <w:kern w:val="0"/>
                <w:sz w:val="24"/>
                <w:szCs w:val="24"/>
                <w:lang w:bidi="ar"/>
              </w:rPr>
              <w:t>指标解释</w:t>
            </w:r>
          </w:p>
        </w:tc>
        <w:tc>
          <w:tcPr>
            <w:tcW w:w="1634" w:type="pct"/>
            <w:tcBorders>
              <w:top w:val="single" w:sz="4" w:space="0" w:color="auto"/>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textAlignment w:val="center"/>
              <w:rPr>
                <w:rFonts w:ascii="Times New Roman" w:eastAsia="方正公文小标宋" w:hAnsi="Times New Roman" w:cs="方正公文小标宋"/>
                <w:kern w:val="0"/>
                <w:sz w:val="24"/>
                <w:szCs w:val="24"/>
                <w:lang w:bidi="ar"/>
              </w:rPr>
            </w:pPr>
            <w:r>
              <w:rPr>
                <w:rFonts w:ascii="Times New Roman" w:eastAsia="方正公文小标宋" w:hAnsi="Times New Roman" w:cs="方正公文小标宋" w:hint="eastAsia"/>
                <w:kern w:val="0"/>
                <w:sz w:val="24"/>
                <w:szCs w:val="24"/>
                <w:lang w:bidi="ar"/>
              </w:rPr>
              <w:t>评价要点及评分规则</w:t>
            </w:r>
          </w:p>
        </w:tc>
        <w:tc>
          <w:tcPr>
            <w:tcW w:w="277" w:type="pct"/>
            <w:tcBorders>
              <w:top w:val="single" w:sz="4" w:space="0" w:color="auto"/>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textAlignment w:val="center"/>
              <w:rPr>
                <w:rFonts w:ascii="Times New Roman" w:eastAsia="方正公文小标宋" w:hAnsi="Times New Roman" w:cs="方正公文小标宋"/>
                <w:kern w:val="0"/>
                <w:sz w:val="24"/>
                <w:szCs w:val="24"/>
                <w:lang w:bidi="ar"/>
              </w:rPr>
            </w:pPr>
            <w:r>
              <w:rPr>
                <w:rFonts w:ascii="Times New Roman" w:eastAsia="方正公文小标宋" w:hAnsi="Times New Roman" w:cs="方正公文小标宋" w:hint="eastAsia"/>
                <w:kern w:val="0"/>
                <w:sz w:val="24"/>
                <w:szCs w:val="24"/>
                <w:lang w:bidi="ar"/>
              </w:rPr>
              <w:t>标准值</w:t>
            </w:r>
          </w:p>
        </w:tc>
        <w:tc>
          <w:tcPr>
            <w:tcW w:w="264" w:type="pct"/>
            <w:tcBorders>
              <w:top w:val="single" w:sz="4" w:space="0" w:color="auto"/>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textAlignment w:val="center"/>
              <w:rPr>
                <w:rFonts w:ascii="Times New Roman" w:eastAsia="方正公文小标宋" w:hAnsi="Times New Roman" w:cs="方正公文小标宋"/>
                <w:kern w:val="0"/>
                <w:sz w:val="24"/>
                <w:szCs w:val="24"/>
                <w:lang w:bidi="ar"/>
              </w:rPr>
            </w:pPr>
            <w:r>
              <w:rPr>
                <w:rFonts w:ascii="Times New Roman" w:eastAsia="方正公文小标宋" w:hAnsi="Times New Roman" w:cs="方正公文小标宋" w:hint="eastAsia"/>
                <w:kern w:val="0"/>
                <w:sz w:val="24"/>
                <w:szCs w:val="24"/>
                <w:lang w:bidi="ar"/>
              </w:rPr>
              <w:t>权重</w:t>
            </w:r>
          </w:p>
        </w:tc>
        <w:tc>
          <w:tcPr>
            <w:tcW w:w="260" w:type="pct"/>
            <w:tcBorders>
              <w:top w:val="single" w:sz="4" w:space="0" w:color="auto"/>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textAlignment w:val="center"/>
              <w:rPr>
                <w:rFonts w:ascii="Times New Roman" w:eastAsia="方正公文小标宋" w:hAnsi="Times New Roman" w:cs="方正公文小标宋"/>
                <w:kern w:val="0"/>
                <w:sz w:val="24"/>
                <w:szCs w:val="24"/>
                <w:lang w:bidi="ar"/>
              </w:rPr>
            </w:pPr>
            <w:r>
              <w:rPr>
                <w:rFonts w:ascii="Times New Roman" w:eastAsia="方正公文小标宋" w:hAnsi="Times New Roman" w:cs="方正公文小标宋" w:hint="eastAsia"/>
                <w:kern w:val="0"/>
                <w:sz w:val="24"/>
                <w:szCs w:val="24"/>
                <w:lang w:bidi="ar"/>
              </w:rPr>
              <w:t>得分</w:t>
            </w:r>
          </w:p>
        </w:tc>
        <w:tc>
          <w:tcPr>
            <w:tcW w:w="691" w:type="pct"/>
            <w:tcBorders>
              <w:top w:val="single" w:sz="4" w:space="0" w:color="auto"/>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textAlignment w:val="center"/>
              <w:rPr>
                <w:rFonts w:ascii="Times New Roman" w:eastAsia="方正公文小标宋" w:hAnsi="Times New Roman" w:cs="方正公文小标宋"/>
                <w:kern w:val="0"/>
                <w:sz w:val="24"/>
                <w:szCs w:val="24"/>
                <w:lang w:bidi="ar"/>
              </w:rPr>
            </w:pPr>
            <w:r>
              <w:rPr>
                <w:rFonts w:ascii="Times New Roman" w:eastAsia="方正公文小标宋" w:hAnsi="Times New Roman" w:cs="方正公文小标宋" w:hint="eastAsia"/>
                <w:kern w:val="0"/>
                <w:sz w:val="24"/>
                <w:szCs w:val="24"/>
                <w:lang w:bidi="ar"/>
              </w:rPr>
              <w:t>评价说明</w:t>
            </w:r>
          </w:p>
        </w:tc>
      </w:tr>
      <w:tr w:rsidR="001A79DF">
        <w:trPr>
          <w:trHeight w:val="23"/>
        </w:trPr>
        <w:tc>
          <w:tcPr>
            <w:tcW w:w="263" w:type="pct"/>
            <w:vMerge w:val="restart"/>
            <w:tcBorders>
              <w:top w:val="nil"/>
              <w:left w:val="single" w:sz="4" w:space="0" w:color="auto"/>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A</w:t>
            </w:r>
            <w:r>
              <w:rPr>
                <w:rFonts w:ascii="Times New Roman" w:eastAsia="方正楷体_GBK" w:hAnsi="Times New Roman" w:cs="方正楷体_GBK" w:hint="eastAsia"/>
                <w:kern w:val="0"/>
                <w:sz w:val="22"/>
              </w:rPr>
              <w:t>决策</w:t>
            </w:r>
          </w:p>
        </w:tc>
        <w:tc>
          <w:tcPr>
            <w:tcW w:w="32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A1</w:t>
            </w:r>
            <w:r>
              <w:rPr>
                <w:rFonts w:ascii="Times New Roman" w:eastAsia="方正楷体_GBK" w:hAnsi="Times New Roman" w:cs="方正楷体_GBK" w:hint="eastAsia"/>
                <w:kern w:val="0"/>
                <w:sz w:val="22"/>
              </w:rPr>
              <w:t>决策程序</w:t>
            </w: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All</w:t>
            </w:r>
            <w:r>
              <w:rPr>
                <w:rFonts w:ascii="Times New Roman" w:eastAsia="方正楷体_GBK" w:hAnsi="Times New Roman" w:cs="方正楷体_GBK" w:hint="eastAsia"/>
                <w:kern w:val="0"/>
                <w:sz w:val="22"/>
              </w:rPr>
              <w:t>决策程序的规范性</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部门是否建立了关于重大政策活动、重点项目、重大资金安排的决策制度，决策制度是否可行，决策流程是否规范合理。</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r>
              <w:rPr>
                <w:rFonts w:ascii="Times New Roman" w:eastAsia="方正楷体_GBK" w:hAnsi="Times New Roman" w:cs="方正楷体_GBK" w:hint="eastAsia"/>
                <w:kern w:val="0"/>
                <w:sz w:val="22"/>
              </w:rPr>
              <w:br/>
              <w:t>1</w:t>
            </w:r>
            <w:r>
              <w:rPr>
                <w:rFonts w:ascii="Times New Roman" w:eastAsia="方正楷体_GBK" w:hAnsi="Times New Roman" w:cs="方正楷体_GBK" w:hint="eastAsia"/>
                <w:kern w:val="0"/>
                <w:sz w:val="22"/>
              </w:rPr>
              <w:t>．重大政策活动、重大项目和重大资金安排方面的决策制度；</w:t>
            </w:r>
            <w:r>
              <w:rPr>
                <w:rFonts w:ascii="Times New Roman" w:eastAsia="方正楷体_GBK" w:hAnsi="Times New Roman" w:cs="方正楷体_GBK" w:hint="eastAsia"/>
                <w:kern w:val="0"/>
                <w:sz w:val="22"/>
              </w:rPr>
              <w:br/>
              <w:t>2</w:t>
            </w:r>
            <w:r>
              <w:rPr>
                <w:rFonts w:ascii="Times New Roman" w:eastAsia="方正楷体_GBK" w:hAnsi="Times New Roman" w:cs="方正楷体_GBK" w:hint="eastAsia"/>
                <w:kern w:val="0"/>
                <w:sz w:val="22"/>
              </w:rPr>
              <w:t>．部门年度重点项目、重大预算、重大资金使用决策制度的可行性；</w:t>
            </w:r>
            <w:r>
              <w:rPr>
                <w:rFonts w:ascii="Times New Roman" w:eastAsia="方正楷体_GBK" w:hAnsi="Times New Roman" w:cs="方正楷体_GBK" w:hint="eastAsia"/>
                <w:kern w:val="0"/>
                <w:sz w:val="22"/>
              </w:rPr>
              <w:br/>
              <w:t>3</w:t>
            </w:r>
            <w:r>
              <w:rPr>
                <w:rFonts w:ascii="Times New Roman" w:eastAsia="方正楷体_GBK" w:hAnsi="Times New Roman" w:cs="方正楷体_GBK" w:hint="eastAsia"/>
                <w:kern w:val="0"/>
                <w:sz w:val="22"/>
              </w:rPr>
              <w:t>．部门决策流程是否规范合理。</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评分规则：</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以上评价要点各占</w:t>
            </w:r>
            <w:r>
              <w:rPr>
                <w:rFonts w:ascii="Times New Roman" w:eastAsia="方正楷体_GBK" w:hAnsi="Times New Roman" w:cs="方正楷体_GBK" w:hint="eastAsia"/>
                <w:kern w:val="0"/>
                <w:sz w:val="22"/>
              </w:rPr>
              <w:t>1/3</w:t>
            </w:r>
            <w:r>
              <w:rPr>
                <w:rFonts w:ascii="Times New Roman" w:eastAsia="方正楷体_GBK" w:hAnsi="Times New Roman" w:cs="方正楷体_GBK" w:hint="eastAsia"/>
                <w:kern w:val="0"/>
                <w:sz w:val="22"/>
              </w:rPr>
              <w:t>权重，建立“三重一大”决策制度且</w:t>
            </w:r>
            <w:r>
              <w:rPr>
                <w:rFonts w:ascii="Times New Roman" w:eastAsia="方正楷体_GBK" w:hAnsi="Times New Roman" w:cs="方正楷体_GBK" w:hint="eastAsia"/>
                <w:kern w:val="0"/>
                <w:sz w:val="22"/>
              </w:rPr>
              <w:t>2025</w:t>
            </w:r>
            <w:r>
              <w:rPr>
                <w:rFonts w:ascii="Times New Roman" w:eastAsia="方正楷体_GBK" w:hAnsi="Times New Roman" w:cs="方正楷体_GBK" w:hint="eastAsia"/>
                <w:kern w:val="0"/>
                <w:sz w:val="22"/>
              </w:rPr>
              <w:t>年相关的</w:t>
            </w:r>
            <w:proofErr w:type="gramStart"/>
            <w:r>
              <w:rPr>
                <w:rFonts w:ascii="Times New Roman" w:eastAsia="方正楷体_GBK" w:hAnsi="Times New Roman" w:cs="方正楷体_GBK" w:hint="eastAsia"/>
                <w:kern w:val="0"/>
                <w:sz w:val="22"/>
              </w:rPr>
              <w:t>决策按</w:t>
            </w:r>
            <w:proofErr w:type="gramEnd"/>
            <w:r>
              <w:rPr>
                <w:rFonts w:ascii="Times New Roman" w:eastAsia="方正楷体_GBK" w:hAnsi="Times New Roman" w:cs="方正楷体_GBK" w:hint="eastAsia"/>
                <w:kern w:val="0"/>
                <w:sz w:val="22"/>
              </w:rPr>
              <w:t>制度执行并规范合理得</w:t>
            </w:r>
            <w:r>
              <w:rPr>
                <w:rFonts w:ascii="Times New Roman" w:eastAsia="方正楷体_GBK" w:hAnsi="Times New Roman" w:cs="方正楷体_GBK" w:hint="eastAsia"/>
                <w:kern w:val="0"/>
                <w:sz w:val="22"/>
              </w:rPr>
              <w:t>2</w:t>
            </w:r>
            <w:r>
              <w:rPr>
                <w:rFonts w:ascii="Times New Roman" w:eastAsia="方正楷体_GBK" w:hAnsi="Times New Roman" w:cs="方正楷体_GBK" w:hint="eastAsia"/>
                <w:kern w:val="0"/>
                <w:sz w:val="22"/>
              </w:rPr>
              <w:t>分；三项决策标准不全部具备时，</w:t>
            </w:r>
            <w:r>
              <w:rPr>
                <w:rFonts w:ascii="Times New Roman" w:eastAsia="方正楷体_GBK" w:hAnsi="Times New Roman" w:cs="方正楷体_GBK" w:hint="eastAsia"/>
                <w:kern w:val="0"/>
                <w:sz w:val="22"/>
              </w:rPr>
              <w:lastRenderedPageBreak/>
              <w:t>每缺失</w:t>
            </w:r>
            <w:r>
              <w:rPr>
                <w:rFonts w:ascii="Times New Roman" w:eastAsia="方正楷体_GBK" w:hAnsi="Times New Roman" w:cs="方正楷体_GBK" w:hint="eastAsia"/>
                <w:kern w:val="0"/>
                <w:sz w:val="22"/>
              </w:rPr>
              <w:t>1</w:t>
            </w:r>
            <w:r>
              <w:rPr>
                <w:rFonts w:ascii="Times New Roman" w:eastAsia="方正楷体_GBK" w:hAnsi="Times New Roman" w:cs="方正楷体_GBK" w:hint="eastAsia"/>
                <w:kern w:val="0"/>
                <w:sz w:val="22"/>
              </w:rPr>
              <w:t>项扣除</w:t>
            </w:r>
            <w:r>
              <w:rPr>
                <w:rFonts w:ascii="Times New Roman" w:eastAsia="方正楷体_GBK" w:hAnsi="Times New Roman" w:cs="方正楷体_GBK" w:hint="eastAsia"/>
                <w:kern w:val="0"/>
                <w:sz w:val="22"/>
              </w:rPr>
              <w:t>0.5</w:t>
            </w:r>
            <w:r>
              <w:rPr>
                <w:rFonts w:ascii="Times New Roman" w:eastAsia="方正楷体_GBK" w:hAnsi="Times New Roman" w:cs="方正楷体_GBK" w:hint="eastAsia"/>
                <w:kern w:val="0"/>
                <w:sz w:val="22"/>
              </w:rPr>
              <w:t>分，扣完为止。</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规范</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部门建立“三重一大”决策制度，</w:t>
            </w:r>
            <w:r>
              <w:rPr>
                <w:rFonts w:ascii="Times New Roman" w:eastAsia="方正楷体_GBK" w:hAnsi="Times New Roman" w:cs="方正楷体_GBK" w:hint="eastAsia"/>
                <w:kern w:val="0"/>
                <w:sz w:val="22"/>
              </w:rPr>
              <w:t>2025</w:t>
            </w:r>
            <w:r>
              <w:rPr>
                <w:rFonts w:ascii="Times New Roman" w:eastAsia="方正楷体_GBK" w:hAnsi="Times New Roman" w:cs="方正楷体_GBK" w:hint="eastAsia"/>
                <w:kern w:val="0"/>
                <w:sz w:val="22"/>
              </w:rPr>
              <w:t>年相关决策均按制度执行</w:t>
            </w:r>
            <w:proofErr w:type="gramStart"/>
            <w:r>
              <w:rPr>
                <w:rFonts w:ascii="Times New Roman" w:eastAsia="方正楷体_GBK" w:hAnsi="Times New Roman" w:cs="方正楷体_GBK" w:hint="eastAsia"/>
                <w:kern w:val="0"/>
                <w:sz w:val="22"/>
              </w:rPr>
              <w:t>且规范</w:t>
            </w:r>
            <w:proofErr w:type="gramEnd"/>
            <w:r>
              <w:rPr>
                <w:rFonts w:ascii="Times New Roman" w:eastAsia="方正楷体_GBK" w:hAnsi="Times New Roman" w:cs="方正楷体_GBK" w:hint="eastAsia"/>
                <w:kern w:val="0"/>
                <w:sz w:val="22"/>
              </w:rPr>
              <w:t>合理。</w:t>
            </w:r>
          </w:p>
        </w:tc>
      </w:tr>
      <w:tr w:rsidR="001A79DF">
        <w:trPr>
          <w:trHeight w:val="23"/>
        </w:trPr>
        <w:tc>
          <w:tcPr>
            <w:tcW w:w="263" w:type="pct"/>
            <w:vMerge/>
            <w:tcBorders>
              <w:top w:val="nil"/>
              <w:left w:val="single" w:sz="4" w:space="0" w:color="auto"/>
              <w:bottom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val="restart"/>
            <w:tcBorders>
              <w:top w:val="nil"/>
              <w:left w:val="single" w:sz="4" w:space="0" w:color="auto"/>
              <w:bottom w:val="single" w:sz="4" w:space="0" w:color="000000"/>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A2</w:t>
            </w:r>
            <w:r>
              <w:rPr>
                <w:rFonts w:ascii="Times New Roman" w:eastAsia="方正楷体_GBK" w:hAnsi="Times New Roman" w:cs="方正楷体_GBK" w:hint="eastAsia"/>
                <w:kern w:val="0"/>
                <w:sz w:val="22"/>
              </w:rPr>
              <w:t>规划与计划制定</w:t>
            </w: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A21</w:t>
            </w:r>
            <w:r>
              <w:rPr>
                <w:rFonts w:ascii="Times New Roman" w:eastAsia="方正楷体_GBK" w:hAnsi="Times New Roman" w:cs="方正楷体_GBK" w:hint="eastAsia"/>
                <w:kern w:val="0"/>
                <w:sz w:val="22"/>
              </w:rPr>
              <w:t>中长期规划明确性</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部门中长期规划制定是否明确，年度工作计划制定是否明确、具体、可操作。</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r>
              <w:rPr>
                <w:rFonts w:ascii="Times New Roman" w:eastAsia="方正楷体_GBK" w:hAnsi="Times New Roman" w:cs="方正楷体_GBK" w:hint="eastAsia"/>
                <w:kern w:val="0"/>
                <w:sz w:val="22"/>
              </w:rPr>
              <w:br/>
              <w:t>1</w:t>
            </w:r>
            <w:r>
              <w:rPr>
                <w:rFonts w:ascii="Times New Roman" w:eastAsia="方正楷体_GBK" w:hAnsi="Times New Roman" w:cs="方正楷体_GBK" w:hint="eastAsia"/>
                <w:kern w:val="0"/>
                <w:sz w:val="22"/>
              </w:rPr>
              <w:t>．绩效目标符合部门制定的中长期实施规划和年度计划；</w:t>
            </w:r>
            <w:r>
              <w:rPr>
                <w:rFonts w:ascii="Times New Roman" w:eastAsia="方正楷体_GBK" w:hAnsi="Times New Roman" w:cs="方正楷体_GBK" w:hint="eastAsia"/>
                <w:kern w:val="0"/>
                <w:sz w:val="22"/>
              </w:rPr>
              <w:br/>
              <w:t>2</w:t>
            </w:r>
            <w:r>
              <w:rPr>
                <w:rFonts w:ascii="Times New Roman" w:eastAsia="方正楷体_GBK" w:hAnsi="Times New Roman" w:cs="方正楷体_GBK" w:hint="eastAsia"/>
                <w:kern w:val="0"/>
                <w:sz w:val="22"/>
              </w:rPr>
              <w:t>．制定了明确的中长期规划，包括总体目标、工作内容、时间进度等。</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评分规则：</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以上评分要点各占</w:t>
            </w:r>
            <w:r>
              <w:rPr>
                <w:rFonts w:ascii="Times New Roman" w:eastAsia="方正楷体_GBK" w:hAnsi="Times New Roman" w:cs="方正楷体_GBK" w:hint="eastAsia"/>
                <w:kern w:val="0"/>
                <w:sz w:val="22"/>
              </w:rPr>
              <w:t>1/2</w:t>
            </w:r>
            <w:r>
              <w:rPr>
                <w:rFonts w:ascii="Times New Roman" w:eastAsia="方正楷体_GBK" w:hAnsi="Times New Roman" w:cs="方正楷体_GBK" w:hint="eastAsia"/>
                <w:kern w:val="0"/>
                <w:sz w:val="22"/>
              </w:rPr>
              <w:t>权重。两点均明确，得权重分；较明确，得</w:t>
            </w:r>
            <w:r>
              <w:rPr>
                <w:rFonts w:ascii="Times New Roman" w:eastAsia="方正楷体_GBK" w:hAnsi="Times New Roman" w:cs="方正楷体_GBK" w:hint="eastAsia"/>
                <w:kern w:val="0"/>
                <w:sz w:val="22"/>
              </w:rPr>
              <w:t>80%</w:t>
            </w:r>
            <w:r>
              <w:rPr>
                <w:rFonts w:ascii="Times New Roman" w:eastAsia="方正楷体_GBK" w:hAnsi="Times New Roman" w:cs="方正楷体_GBK" w:hint="eastAsia"/>
                <w:kern w:val="0"/>
                <w:sz w:val="22"/>
              </w:rPr>
              <w:t>权重分；不明确，得</w:t>
            </w:r>
            <w:r>
              <w:rPr>
                <w:rFonts w:ascii="Times New Roman" w:eastAsia="方正楷体_GBK" w:hAnsi="Times New Roman" w:cs="方正楷体_GBK" w:hint="eastAsia"/>
                <w:kern w:val="0"/>
                <w:sz w:val="22"/>
              </w:rPr>
              <w:t>0</w:t>
            </w:r>
            <w:r>
              <w:rPr>
                <w:rFonts w:ascii="Times New Roman" w:eastAsia="方正楷体_GBK" w:hAnsi="Times New Roman" w:cs="方正楷体_GBK" w:hint="eastAsia"/>
                <w:kern w:val="0"/>
                <w:sz w:val="22"/>
              </w:rPr>
              <w:t>分；没有中长期规划，本指标得</w:t>
            </w:r>
            <w:r>
              <w:rPr>
                <w:rFonts w:ascii="Times New Roman" w:eastAsia="方正楷体_GBK" w:hAnsi="Times New Roman" w:cs="方正楷体_GBK" w:hint="eastAsia"/>
                <w:kern w:val="0"/>
                <w:sz w:val="22"/>
              </w:rPr>
              <w:t>0</w:t>
            </w:r>
            <w:r>
              <w:rPr>
                <w:rFonts w:ascii="Times New Roman" w:eastAsia="方正楷体_GBK" w:hAnsi="Times New Roman" w:cs="方正楷体_GBK" w:hint="eastAsia"/>
                <w:kern w:val="0"/>
                <w:sz w:val="22"/>
              </w:rPr>
              <w:t>分。</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明确</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部门中长期规划制定明确，年度工作计划制定明确、具体、可操作。</w:t>
            </w:r>
          </w:p>
        </w:tc>
      </w:tr>
      <w:tr w:rsidR="001A79DF">
        <w:trPr>
          <w:trHeight w:val="23"/>
        </w:trPr>
        <w:tc>
          <w:tcPr>
            <w:tcW w:w="263" w:type="pct"/>
            <w:vMerge/>
            <w:tcBorders>
              <w:top w:val="nil"/>
              <w:left w:val="single" w:sz="4" w:space="0" w:color="auto"/>
              <w:bottom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nil"/>
              <w:left w:val="single" w:sz="4" w:space="0" w:color="auto"/>
              <w:bottom w:val="single" w:sz="4" w:space="0" w:color="000000"/>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A22</w:t>
            </w:r>
            <w:r>
              <w:rPr>
                <w:rFonts w:ascii="Times New Roman" w:eastAsia="方正楷体_GBK" w:hAnsi="Times New Roman" w:cs="方正楷体_GBK" w:hint="eastAsia"/>
                <w:kern w:val="0"/>
                <w:sz w:val="22"/>
              </w:rPr>
              <w:t>中长期规划与部门</w:t>
            </w:r>
            <w:r>
              <w:rPr>
                <w:rFonts w:ascii="Times New Roman" w:eastAsia="方正楷体_GBK" w:hAnsi="Times New Roman" w:cs="方正楷体_GBK" w:hint="eastAsia"/>
                <w:kern w:val="0"/>
                <w:sz w:val="22"/>
              </w:rPr>
              <w:lastRenderedPageBreak/>
              <w:t>职能匹配性</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部门中长期规划制定是否与部门职能相匹</w:t>
            </w:r>
            <w:r>
              <w:rPr>
                <w:rFonts w:ascii="Times New Roman" w:eastAsia="方正楷体_GBK" w:hAnsi="Times New Roman" w:cs="方正楷体_GBK" w:hint="eastAsia"/>
                <w:kern w:val="0"/>
                <w:sz w:val="22"/>
              </w:rPr>
              <w:lastRenderedPageBreak/>
              <w:t>配，年度工作计划制定是否与部门职能和中长期规划相匹配。</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评价要点：</w:t>
            </w:r>
            <w:r>
              <w:rPr>
                <w:rFonts w:ascii="Times New Roman" w:eastAsia="方正楷体_GBK" w:hAnsi="Times New Roman" w:cs="方正楷体_GBK" w:hint="eastAsia"/>
                <w:kern w:val="0"/>
                <w:sz w:val="22"/>
              </w:rPr>
              <w:br/>
              <w:t>1</w:t>
            </w:r>
            <w:r>
              <w:rPr>
                <w:rFonts w:ascii="Times New Roman" w:eastAsia="方正楷体_GBK" w:hAnsi="Times New Roman" w:cs="方正楷体_GBK" w:hint="eastAsia"/>
                <w:kern w:val="0"/>
                <w:sz w:val="22"/>
              </w:rPr>
              <w:t>．部门规划涵盖了部门全部职能；</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lastRenderedPageBreak/>
              <w:t>2</w:t>
            </w:r>
            <w:r>
              <w:rPr>
                <w:rFonts w:ascii="Times New Roman" w:eastAsia="方正楷体_GBK" w:hAnsi="Times New Roman" w:cs="方正楷体_GBK" w:hint="eastAsia"/>
                <w:kern w:val="0"/>
                <w:sz w:val="22"/>
              </w:rPr>
              <w:t>．与部门职能相匹配。</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评分规则：</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各要点占</w:t>
            </w:r>
            <w:r>
              <w:rPr>
                <w:rFonts w:ascii="Times New Roman" w:eastAsia="方正楷体_GBK" w:hAnsi="Times New Roman" w:cs="方正楷体_GBK" w:hint="eastAsia"/>
                <w:kern w:val="0"/>
                <w:sz w:val="22"/>
              </w:rPr>
              <w:t>50%</w:t>
            </w:r>
            <w:r>
              <w:rPr>
                <w:rFonts w:ascii="Times New Roman" w:eastAsia="方正楷体_GBK" w:hAnsi="Times New Roman" w:cs="方正楷体_GBK" w:hint="eastAsia"/>
                <w:kern w:val="0"/>
                <w:sz w:val="22"/>
              </w:rPr>
              <w:t>权重分，规划涵盖全部职能及与职能相匹配得权重分，较匹配，得</w:t>
            </w:r>
            <w:r>
              <w:rPr>
                <w:rFonts w:ascii="Times New Roman" w:eastAsia="方正楷体_GBK" w:hAnsi="Times New Roman" w:cs="方正楷体_GBK" w:hint="eastAsia"/>
                <w:kern w:val="0"/>
                <w:sz w:val="22"/>
              </w:rPr>
              <w:t>80%</w:t>
            </w:r>
            <w:r>
              <w:rPr>
                <w:rFonts w:ascii="Times New Roman" w:eastAsia="方正楷体_GBK" w:hAnsi="Times New Roman" w:cs="方正楷体_GBK" w:hint="eastAsia"/>
                <w:kern w:val="0"/>
                <w:sz w:val="22"/>
              </w:rPr>
              <w:t>权重分；不匹配，得</w:t>
            </w:r>
            <w:r>
              <w:rPr>
                <w:rFonts w:ascii="Times New Roman" w:eastAsia="方正楷体_GBK" w:hAnsi="Times New Roman" w:cs="方正楷体_GBK" w:hint="eastAsia"/>
                <w:kern w:val="0"/>
                <w:sz w:val="22"/>
              </w:rPr>
              <w:t>0</w:t>
            </w:r>
            <w:r>
              <w:rPr>
                <w:rFonts w:ascii="Times New Roman" w:eastAsia="方正楷体_GBK" w:hAnsi="Times New Roman" w:cs="方正楷体_GBK" w:hint="eastAsia"/>
                <w:kern w:val="0"/>
                <w:sz w:val="22"/>
              </w:rPr>
              <w:t>分。</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匹配</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部门中长期规划涵盖了部门全部</w:t>
            </w:r>
            <w:r>
              <w:rPr>
                <w:rFonts w:ascii="Times New Roman" w:eastAsia="方正楷体_GBK" w:hAnsi="Times New Roman" w:cs="方正楷体_GBK" w:hint="eastAsia"/>
                <w:kern w:val="0"/>
                <w:sz w:val="22"/>
              </w:rPr>
              <w:lastRenderedPageBreak/>
              <w:t>职能，年度工作计划与部门职能和中长期规划相匹配。</w:t>
            </w:r>
          </w:p>
        </w:tc>
      </w:tr>
      <w:tr w:rsidR="001A79DF">
        <w:trPr>
          <w:trHeight w:val="23"/>
        </w:trPr>
        <w:tc>
          <w:tcPr>
            <w:tcW w:w="263" w:type="pct"/>
            <w:vMerge/>
            <w:tcBorders>
              <w:top w:val="nil"/>
              <w:left w:val="single" w:sz="4" w:space="0" w:color="auto"/>
              <w:bottom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val="restart"/>
            <w:tcBorders>
              <w:top w:val="nil"/>
              <w:left w:val="single" w:sz="4" w:space="0" w:color="auto"/>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A3</w:t>
            </w:r>
            <w:r>
              <w:rPr>
                <w:rFonts w:ascii="Times New Roman" w:eastAsia="方正楷体_GBK" w:hAnsi="Times New Roman" w:cs="方正楷体_GBK" w:hint="eastAsia"/>
                <w:kern w:val="0"/>
                <w:sz w:val="22"/>
              </w:rPr>
              <w:t>目标设定</w:t>
            </w: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A31</w:t>
            </w:r>
            <w:r>
              <w:rPr>
                <w:rFonts w:ascii="Times New Roman" w:eastAsia="方正楷体_GBK" w:hAnsi="Times New Roman" w:cs="方正楷体_GBK" w:hint="eastAsia"/>
                <w:kern w:val="0"/>
                <w:sz w:val="22"/>
              </w:rPr>
              <w:t>绩效目标合理性</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部门所设立的整体绩效目标依据是否充分、是否符合客观实际，用以反映和考核部门整体绩效目标与部门履职、年度工作任务的相符性情况。</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r>
              <w:rPr>
                <w:rFonts w:ascii="Times New Roman" w:eastAsia="方正楷体_GBK" w:hAnsi="Times New Roman" w:cs="方正楷体_GBK" w:hint="eastAsia"/>
                <w:kern w:val="0"/>
                <w:sz w:val="22"/>
              </w:rPr>
              <w:br/>
              <w:t>1</w:t>
            </w:r>
            <w:r>
              <w:rPr>
                <w:rFonts w:ascii="Times New Roman" w:eastAsia="方正楷体_GBK" w:hAnsi="Times New Roman" w:cs="方正楷体_GBK" w:hint="eastAsia"/>
                <w:kern w:val="0"/>
                <w:sz w:val="22"/>
              </w:rPr>
              <w:t>．是否符合国家法律法规、国民经济和社会发展总体规划、部门“三定”方案的职责；</w:t>
            </w:r>
            <w:r>
              <w:rPr>
                <w:rFonts w:ascii="Times New Roman" w:eastAsia="方正楷体_GBK" w:hAnsi="Times New Roman" w:cs="方正楷体_GBK" w:hint="eastAsia"/>
                <w:kern w:val="0"/>
                <w:sz w:val="22"/>
              </w:rPr>
              <w:br/>
              <w:t>2</w:t>
            </w:r>
            <w:r>
              <w:rPr>
                <w:rFonts w:ascii="Times New Roman" w:eastAsia="方正楷体_GBK" w:hAnsi="Times New Roman" w:cs="方正楷体_GBK" w:hint="eastAsia"/>
                <w:kern w:val="0"/>
                <w:sz w:val="22"/>
              </w:rPr>
              <w:t>．是否符合部门制定的中长期规划和年度工作计划；</w:t>
            </w:r>
            <w:r>
              <w:rPr>
                <w:rFonts w:ascii="Times New Roman" w:eastAsia="方正楷体_GBK" w:hAnsi="Times New Roman" w:cs="方正楷体_GBK" w:hint="eastAsia"/>
                <w:kern w:val="0"/>
                <w:sz w:val="22"/>
              </w:rPr>
              <w:br/>
              <w:t>3</w:t>
            </w:r>
            <w:r>
              <w:rPr>
                <w:rFonts w:ascii="Times New Roman" w:eastAsia="方正楷体_GBK" w:hAnsi="Times New Roman" w:cs="方正楷体_GBK" w:hint="eastAsia"/>
                <w:kern w:val="0"/>
                <w:sz w:val="22"/>
              </w:rPr>
              <w:t>．是否与社会需求相匹配；</w:t>
            </w:r>
            <w:r>
              <w:rPr>
                <w:rFonts w:ascii="Times New Roman" w:eastAsia="方正楷体_GBK" w:hAnsi="Times New Roman" w:cs="方正楷体_GBK" w:hint="eastAsia"/>
                <w:kern w:val="0"/>
                <w:sz w:val="22"/>
              </w:rPr>
              <w:br/>
              <w:t>4</w:t>
            </w:r>
            <w:r>
              <w:rPr>
                <w:rFonts w:ascii="Times New Roman" w:eastAsia="方正楷体_GBK" w:hAnsi="Times New Roman" w:cs="方正楷体_GBK" w:hint="eastAsia"/>
                <w:kern w:val="0"/>
                <w:sz w:val="22"/>
              </w:rPr>
              <w:t>．是否与本年度部门预算资金相匹配。</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lastRenderedPageBreak/>
              <w:t>评分规则：</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以上评价要点各占</w:t>
            </w:r>
            <w:r>
              <w:rPr>
                <w:rFonts w:ascii="Times New Roman" w:eastAsia="方正楷体_GBK" w:hAnsi="Times New Roman" w:cs="方正楷体_GBK" w:hint="eastAsia"/>
                <w:kern w:val="0"/>
                <w:sz w:val="22"/>
              </w:rPr>
              <w:t>1/4</w:t>
            </w:r>
            <w:r>
              <w:rPr>
                <w:rFonts w:ascii="Times New Roman" w:eastAsia="方正楷体_GBK" w:hAnsi="Times New Roman" w:cs="方正楷体_GBK" w:hint="eastAsia"/>
                <w:kern w:val="0"/>
                <w:sz w:val="22"/>
              </w:rPr>
              <w:t>权重。每个要点执行情况分好、中、差三档。按</w:t>
            </w:r>
            <w:r>
              <w:rPr>
                <w:rFonts w:ascii="Times New Roman" w:eastAsia="方正楷体_GBK" w:hAnsi="Times New Roman" w:cs="方正楷体_GBK" w:hint="eastAsia"/>
                <w:kern w:val="0"/>
                <w:sz w:val="22"/>
              </w:rPr>
              <w:t>100%-80%</w:t>
            </w:r>
            <w:r>
              <w:rPr>
                <w:rFonts w:ascii="Times New Roman" w:eastAsia="方正楷体_GBK" w:hAnsi="Times New Roman" w:cs="方正楷体_GBK" w:hint="eastAsia"/>
                <w:kern w:val="0"/>
                <w:sz w:val="22"/>
              </w:rPr>
              <w:t>（含），</w:t>
            </w:r>
            <w:r>
              <w:rPr>
                <w:rFonts w:ascii="Times New Roman" w:eastAsia="方正楷体_GBK" w:hAnsi="Times New Roman" w:cs="方正楷体_GBK" w:hint="eastAsia"/>
                <w:kern w:val="0"/>
                <w:sz w:val="22"/>
              </w:rPr>
              <w:t>80%-60%</w:t>
            </w:r>
            <w:r>
              <w:rPr>
                <w:rFonts w:ascii="Times New Roman" w:eastAsia="方正楷体_GBK" w:hAnsi="Times New Roman" w:cs="方正楷体_GBK" w:hint="eastAsia"/>
                <w:kern w:val="0"/>
                <w:sz w:val="22"/>
              </w:rPr>
              <w:t>（含），</w:t>
            </w:r>
            <w:r>
              <w:rPr>
                <w:rFonts w:ascii="Times New Roman" w:eastAsia="方正楷体_GBK" w:hAnsi="Times New Roman" w:cs="方正楷体_GBK" w:hint="eastAsia"/>
                <w:kern w:val="0"/>
                <w:sz w:val="22"/>
              </w:rPr>
              <w:t>60%-0%</w:t>
            </w:r>
            <w:r>
              <w:rPr>
                <w:rFonts w:ascii="Times New Roman" w:eastAsia="方正楷体_GBK" w:hAnsi="Times New Roman" w:cs="方正楷体_GBK" w:hint="eastAsia"/>
                <w:kern w:val="0"/>
                <w:sz w:val="22"/>
              </w:rPr>
              <w:t>评分。</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合理</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部门整体绩效目标依据充分、符合客观实际，能够反映和考核部门整体绩效目标与部门履职、年度工作任务的相符性情</w:t>
            </w:r>
            <w:r>
              <w:rPr>
                <w:rFonts w:ascii="Times New Roman" w:eastAsia="方正楷体_GBK" w:hAnsi="Times New Roman" w:cs="方正楷体_GBK" w:hint="eastAsia"/>
                <w:kern w:val="0"/>
                <w:sz w:val="22"/>
              </w:rPr>
              <w:lastRenderedPageBreak/>
              <w:t>况。</w:t>
            </w:r>
          </w:p>
        </w:tc>
      </w:tr>
      <w:tr w:rsidR="001A79DF">
        <w:trPr>
          <w:trHeight w:val="23"/>
        </w:trPr>
        <w:tc>
          <w:tcPr>
            <w:tcW w:w="263" w:type="pct"/>
            <w:vMerge/>
            <w:tcBorders>
              <w:top w:val="nil"/>
              <w:left w:val="single" w:sz="4" w:space="0" w:color="auto"/>
              <w:bottom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nil"/>
              <w:left w:val="single" w:sz="4" w:space="0" w:color="auto"/>
              <w:bottom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A32</w:t>
            </w:r>
            <w:r>
              <w:rPr>
                <w:rFonts w:ascii="Times New Roman" w:eastAsia="方正楷体_GBK" w:hAnsi="Times New Roman" w:cs="方正楷体_GBK" w:hint="eastAsia"/>
                <w:kern w:val="0"/>
                <w:sz w:val="22"/>
              </w:rPr>
              <w:t>绩效指标明确性</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部门依据整体绩效目标所设定的绩效指标是否清晰、细化、可衡量。用以反映和考核部门整体绩效目标的</w:t>
            </w:r>
            <w:proofErr w:type="gramStart"/>
            <w:r>
              <w:rPr>
                <w:rFonts w:ascii="Times New Roman" w:eastAsia="方正楷体_GBK" w:hAnsi="Times New Roman" w:cs="方正楷体_GBK" w:hint="eastAsia"/>
                <w:kern w:val="0"/>
                <w:sz w:val="22"/>
              </w:rPr>
              <w:t>明细化</w:t>
            </w:r>
            <w:proofErr w:type="gramEnd"/>
            <w:r>
              <w:rPr>
                <w:rFonts w:ascii="Times New Roman" w:eastAsia="方正楷体_GBK" w:hAnsi="Times New Roman" w:cs="方正楷体_GBK" w:hint="eastAsia"/>
                <w:kern w:val="0"/>
                <w:sz w:val="22"/>
              </w:rPr>
              <w:t>情况。</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r>
              <w:rPr>
                <w:rFonts w:ascii="Times New Roman" w:eastAsia="方正楷体_GBK" w:hAnsi="Times New Roman" w:cs="方正楷体_GBK" w:hint="eastAsia"/>
                <w:kern w:val="0"/>
                <w:sz w:val="22"/>
              </w:rPr>
              <w:br/>
              <w:t>1</w:t>
            </w:r>
            <w:r>
              <w:rPr>
                <w:rFonts w:ascii="Times New Roman" w:eastAsia="方正楷体_GBK" w:hAnsi="Times New Roman" w:cs="方正楷体_GBK" w:hint="eastAsia"/>
                <w:kern w:val="0"/>
                <w:sz w:val="22"/>
              </w:rPr>
              <w:t>．是否将部门整体预算绩效目标细化分解为具体的工作任务；</w:t>
            </w:r>
            <w:r>
              <w:rPr>
                <w:rFonts w:ascii="Times New Roman" w:eastAsia="方正楷体_GBK" w:hAnsi="Times New Roman" w:cs="方正楷体_GBK" w:hint="eastAsia"/>
                <w:kern w:val="0"/>
                <w:sz w:val="22"/>
              </w:rPr>
              <w:br/>
              <w:t>2</w:t>
            </w:r>
            <w:r>
              <w:rPr>
                <w:rFonts w:ascii="Times New Roman" w:eastAsia="方正楷体_GBK" w:hAnsi="Times New Roman" w:cs="方正楷体_GBK" w:hint="eastAsia"/>
                <w:kern w:val="0"/>
                <w:sz w:val="22"/>
              </w:rPr>
              <w:t>．是否通过清晰、可衡量的量化指标</w:t>
            </w:r>
            <w:proofErr w:type="gramStart"/>
            <w:r>
              <w:rPr>
                <w:rFonts w:ascii="Times New Roman" w:eastAsia="方正楷体_GBK" w:hAnsi="Times New Roman" w:cs="方正楷体_GBK" w:hint="eastAsia"/>
                <w:kern w:val="0"/>
                <w:sz w:val="22"/>
              </w:rPr>
              <w:t>值予以</w:t>
            </w:r>
            <w:proofErr w:type="gramEnd"/>
            <w:r>
              <w:rPr>
                <w:rFonts w:ascii="Times New Roman" w:eastAsia="方正楷体_GBK" w:hAnsi="Times New Roman" w:cs="方正楷体_GBK" w:hint="eastAsia"/>
                <w:kern w:val="0"/>
                <w:sz w:val="22"/>
              </w:rPr>
              <w:t>体现；</w:t>
            </w:r>
            <w:r>
              <w:rPr>
                <w:rFonts w:ascii="Times New Roman" w:eastAsia="方正楷体_GBK" w:hAnsi="Times New Roman" w:cs="方正楷体_GBK" w:hint="eastAsia"/>
                <w:kern w:val="0"/>
                <w:sz w:val="22"/>
              </w:rPr>
              <w:br/>
              <w:t>3</w:t>
            </w:r>
            <w:r>
              <w:rPr>
                <w:rFonts w:ascii="Times New Roman" w:eastAsia="方正楷体_GBK" w:hAnsi="Times New Roman" w:cs="方正楷体_GBK" w:hint="eastAsia"/>
                <w:kern w:val="0"/>
                <w:sz w:val="22"/>
              </w:rPr>
              <w:t>．是否与部门年度重点工作任务数相对应，并突出了核心绩效指标。</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评分规则：</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lastRenderedPageBreak/>
              <w:t>以上评价要点各占</w:t>
            </w:r>
            <w:r>
              <w:rPr>
                <w:rFonts w:ascii="Times New Roman" w:eastAsia="方正楷体_GBK" w:hAnsi="Times New Roman" w:cs="方正楷体_GBK" w:hint="eastAsia"/>
                <w:kern w:val="0"/>
                <w:sz w:val="22"/>
              </w:rPr>
              <w:t>1/3</w:t>
            </w:r>
            <w:r>
              <w:rPr>
                <w:rFonts w:ascii="Times New Roman" w:eastAsia="方正楷体_GBK" w:hAnsi="Times New Roman" w:cs="方正楷体_GBK" w:hint="eastAsia"/>
                <w:kern w:val="0"/>
                <w:sz w:val="22"/>
              </w:rPr>
              <w:t>权重，每个要点执行情况分好、中、差三档，按</w:t>
            </w:r>
            <w:r>
              <w:rPr>
                <w:rFonts w:ascii="Times New Roman" w:eastAsia="方正楷体_GBK" w:hAnsi="Times New Roman" w:cs="方正楷体_GBK" w:hint="eastAsia"/>
                <w:kern w:val="0"/>
                <w:sz w:val="22"/>
              </w:rPr>
              <w:t>100%-80%</w:t>
            </w:r>
            <w:r>
              <w:rPr>
                <w:rFonts w:ascii="Times New Roman" w:eastAsia="方正楷体_GBK" w:hAnsi="Times New Roman" w:cs="方正楷体_GBK" w:hint="eastAsia"/>
                <w:kern w:val="0"/>
                <w:sz w:val="22"/>
              </w:rPr>
              <w:t>（含）、</w:t>
            </w:r>
            <w:r>
              <w:rPr>
                <w:rFonts w:ascii="Times New Roman" w:eastAsia="方正楷体_GBK" w:hAnsi="Times New Roman" w:cs="方正楷体_GBK" w:hint="eastAsia"/>
                <w:kern w:val="0"/>
                <w:sz w:val="22"/>
              </w:rPr>
              <w:t>80%-60%</w:t>
            </w:r>
            <w:r>
              <w:rPr>
                <w:rFonts w:ascii="Times New Roman" w:eastAsia="方正楷体_GBK" w:hAnsi="Times New Roman" w:cs="方正楷体_GBK" w:hint="eastAsia"/>
                <w:kern w:val="0"/>
                <w:sz w:val="22"/>
              </w:rPr>
              <w:t>（含）、</w:t>
            </w:r>
            <w:r>
              <w:rPr>
                <w:rFonts w:ascii="Times New Roman" w:eastAsia="方正楷体_GBK" w:hAnsi="Times New Roman" w:cs="方正楷体_GBK" w:hint="eastAsia"/>
                <w:kern w:val="0"/>
                <w:sz w:val="22"/>
              </w:rPr>
              <w:t>60%-0%</w:t>
            </w:r>
            <w:r>
              <w:rPr>
                <w:rFonts w:ascii="Times New Roman" w:eastAsia="方正楷体_GBK" w:hAnsi="Times New Roman" w:cs="方正楷体_GBK" w:hint="eastAsia"/>
                <w:kern w:val="0"/>
                <w:sz w:val="22"/>
              </w:rPr>
              <w:t>评分。</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明确</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1.6</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个别预算绩效指标设置不完整、不精准，无法全面反映资金使用的综合效能。</w:t>
            </w:r>
          </w:p>
        </w:tc>
      </w:tr>
      <w:tr w:rsidR="001A79DF">
        <w:trPr>
          <w:trHeight w:val="23"/>
        </w:trPr>
        <w:tc>
          <w:tcPr>
            <w:tcW w:w="263" w:type="pct"/>
            <w:vMerge/>
            <w:tcBorders>
              <w:top w:val="nil"/>
              <w:left w:val="single" w:sz="4" w:space="0" w:color="auto"/>
              <w:bottom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val="restart"/>
            <w:tcBorders>
              <w:top w:val="nil"/>
              <w:left w:val="single" w:sz="4" w:space="0" w:color="auto"/>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A4</w:t>
            </w:r>
            <w:r>
              <w:rPr>
                <w:rFonts w:ascii="Times New Roman" w:eastAsia="方正楷体_GBK" w:hAnsi="Times New Roman" w:cs="方正楷体_GBK" w:hint="eastAsia"/>
                <w:kern w:val="0"/>
                <w:sz w:val="22"/>
              </w:rPr>
              <w:t>预算编制</w:t>
            </w: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A41</w:t>
            </w:r>
            <w:r>
              <w:rPr>
                <w:rFonts w:ascii="Times New Roman" w:eastAsia="方正楷体_GBK" w:hAnsi="Times New Roman" w:cs="方正楷体_GBK" w:hint="eastAsia"/>
                <w:kern w:val="0"/>
                <w:sz w:val="22"/>
              </w:rPr>
              <w:t>预算编制合理性</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部门整体预算编制是否经过科学论证，有明确标准，资金额度与年度目标是否相适应，有无重复交叉，重点支出是否有保障，用以反映和考核部门整体预算编制的科学性、合理性情况。</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r>
              <w:rPr>
                <w:rFonts w:ascii="Times New Roman" w:eastAsia="方正楷体_GBK" w:hAnsi="Times New Roman" w:cs="方正楷体_GBK" w:hint="eastAsia"/>
                <w:kern w:val="0"/>
                <w:sz w:val="22"/>
              </w:rPr>
              <w:br/>
              <w:t>1</w:t>
            </w:r>
            <w:r>
              <w:rPr>
                <w:rFonts w:ascii="Times New Roman" w:eastAsia="方正楷体_GBK" w:hAnsi="Times New Roman" w:cs="方正楷体_GBK" w:hint="eastAsia"/>
                <w:kern w:val="0"/>
                <w:sz w:val="22"/>
              </w:rPr>
              <w:t>．基本支出与项目支出的预算编制依据是否充分，符合法律法规、部门职责、发展规划以及相关政策；</w:t>
            </w:r>
            <w:r>
              <w:rPr>
                <w:rFonts w:ascii="Times New Roman" w:eastAsia="方正楷体_GBK" w:hAnsi="Times New Roman" w:cs="方正楷体_GBK" w:hint="eastAsia"/>
                <w:kern w:val="0"/>
                <w:sz w:val="22"/>
              </w:rPr>
              <w:br/>
              <w:t>2</w:t>
            </w:r>
            <w:r>
              <w:rPr>
                <w:rFonts w:ascii="Times New Roman" w:eastAsia="方正楷体_GBK" w:hAnsi="Times New Roman" w:cs="方正楷体_GBK" w:hint="eastAsia"/>
                <w:kern w:val="0"/>
                <w:sz w:val="22"/>
              </w:rPr>
              <w:t>．基本支出预算是否按照规定标准编制；各项</w:t>
            </w:r>
            <w:proofErr w:type="gramStart"/>
            <w:r>
              <w:rPr>
                <w:rFonts w:ascii="Times New Roman" w:eastAsia="方正楷体_GBK" w:hAnsi="Times New Roman" w:cs="方正楷体_GBK" w:hint="eastAsia"/>
                <w:kern w:val="0"/>
                <w:sz w:val="22"/>
              </w:rPr>
              <w:t>目预算</w:t>
            </w:r>
            <w:proofErr w:type="gramEnd"/>
            <w:r>
              <w:rPr>
                <w:rFonts w:ascii="Times New Roman" w:eastAsia="方正楷体_GBK" w:hAnsi="Times New Roman" w:cs="方正楷体_GBK" w:hint="eastAsia"/>
                <w:kern w:val="0"/>
                <w:sz w:val="22"/>
              </w:rPr>
              <w:t>测算依据是否充分，是否与工作任务相匹配，并经过科学论证；</w:t>
            </w:r>
            <w:r>
              <w:rPr>
                <w:rFonts w:ascii="Times New Roman" w:eastAsia="方正楷体_GBK" w:hAnsi="Times New Roman" w:cs="方正楷体_GBK" w:hint="eastAsia"/>
                <w:kern w:val="0"/>
                <w:sz w:val="22"/>
              </w:rPr>
              <w:br/>
              <w:t>3</w:t>
            </w:r>
            <w:r>
              <w:rPr>
                <w:rFonts w:ascii="Times New Roman" w:eastAsia="方正楷体_GBK" w:hAnsi="Times New Roman" w:cs="方正楷体_GBK" w:hint="eastAsia"/>
                <w:kern w:val="0"/>
                <w:sz w:val="22"/>
              </w:rPr>
              <w:t>．重点支出是否有保障；</w:t>
            </w:r>
            <w:r>
              <w:rPr>
                <w:rFonts w:ascii="Times New Roman" w:eastAsia="方正楷体_GBK" w:hAnsi="Times New Roman" w:cs="方正楷体_GBK" w:hint="eastAsia"/>
                <w:kern w:val="0"/>
                <w:sz w:val="22"/>
              </w:rPr>
              <w:br/>
              <w:t>4</w:t>
            </w:r>
            <w:r>
              <w:rPr>
                <w:rFonts w:ascii="Times New Roman" w:eastAsia="方正楷体_GBK" w:hAnsi="Times New Roman" w:cs="方正楷体_GBK" w:hint="eastAsia"/>
                <w:kern w:val="0"/>
                <w:sz w:val="22"/>
              </w:rPr>
              <w:t>．部门内容项目之间是否存在重复交叉，与其</w:t>
            </w:r>
            <w:r>
              <w:rPr>
                <w:rFonts w:ascii="Times New Roman" w:eastAsia="方正楷体_GBK" w:hAnsi="Times New Roman" w:cs="方正楷体_GBK" w:hint="eastAsia"/>
                <w:kern w:val="0"/>
                <w:sz w:val="22"/>
              </w:rPr>
              <w:lastRenderedPageBreak/>
              <w:t>他部门项目是否存在重复交叉。</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评分规则：</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以上评价要点各占</w:t>
            </w:r>
            <w:r>
              <w:rPr>
                <w:rFonts w:ascii="Times New Roman" w:eastAsia="方正楷体_GBK" w:hAnsi="Times New Roman" w:cs="方正楷体_GBK" w:hint="eastAsia"/>
                <w:kern w:val="0"/>
                <w:sz w:val="22"/>
              </w:rPr>
              <w:t>1/4</w:t>
            </w:r>
            <w:r>
              <w:rPr>
                <w:rFonts w:ascii="Times New Roman" w:eastAsia="方正楷体_GBK" w:hAnsi="Times New Roman" w:cs="方正楷体_GBK" w:hint="eastAsia"/>
                <w:kern w:val="0"/>
                <w:sz w:val="22"/>
              </w:rPr>
              <w:t>权重，每个要点执行情况分好、中、差三档。按</w:t>
            </w:r>
            <w:r>
              <w:rPr>
                <w:rFonts w:ascii="Times New Roman" w:eastAsia="方正楷体_GBK" w:hAnsi="Times New Roman" w:cs="方正楷体_GBK" w:hint="eastAsia"/>
                <w:kern w:val="0"/>
                <w:sz w:val="22"/>
              </w:rPr>
              <w:t>100%-80%</w:t>
            </w:r>
            <w:r>
              <w:rPr>
                <w:rFonts w:ascii="Times New Roman" w:eastAsia="方正楷体_GBK" w:hAnsi="Times New Roman" w:cs="方正楷体_GBK" w:hint="eastAsia"/>
                <w:kern w:val="0"/>
                <w:sz w:val="22"/>
              </w:rPr>
              <w:t>（含）、</w:t>
            </w:r>
            <w:r>
              <w:rPr>
                <w:rFonts w:ascii="Times New Roman" w:eastAsia="方正楷体_GBK" w:hAnsi="Times New Roman" w:cs="方正楷体_GBK" w:hint="eastAsia"/>
                <w:kern w:val="0"/>
                <w:sz w:val="22"/>
              </w:rPr>
              <w:t>80%-60%</w:t>
            </w:r>
            <w:r>
              <w:rPr>
                <w:rFonts w:ascii="Times New Roman" w:eastAsia="方正楷体_GBK" w:hAnsi="Times New Roman" w:cs="方正楷体_GBK" w:hint="eastAsia"/>
                <w:kern w:val="0"/>
                <w:sz w:val="22"/>
              </w:rPr>
              <w:t>（含）、</w:t>
            </w:r>
            <w:r>
              <w:rPr>
                <w:rFonts w:ascii="Times New Roman" w:eastAsia="方正楷体_GBK" w:hAnsi="Times New Roman" w:cs="方正楷体_GBK" w:hint="eastAsia"/>
                <w:kern w:val="0"/>
                <w:sz w:val="22"/>
              </w:rPr>
              <w:t>60%-0%</w:t>
            </w:r>
            <w:r>
              <w:rPr>
                <w:rFonts w:ascii="Times New Roman" w:eastAsia="方正楷体_GBK" w:hAnsi="Times New Roman" w:cs="方正楷体_GBK" w:hint="eastAsia"/>
                <w:kern w:val="0"/>
                <w:sz w:val="22"/>
              </w:rPr>
              <w:t>评分。</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合理</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部门整体预算编制经过科学论证，有明确标准，资金额度与年度目标相适应，无重复交叉。</w:t>
            </w:r>
          </w:p>
        </w:tc>
      </w:tr>
      <w:tr w:rsidR="001A79DF">
        <w:trPr>
          <w:trHeight w:val="23"/>
        </w:trPr>
        <w:tc>
          <w:tcPr>
            <w:tcW w:w="263" w:type="pct"/>
            <w:vMerge/>
            <w:tcBorders>
              <w:top w:val="nil"/>
              <w:left w:val="single" w:sz="4" w:space="0" w:color="auto"/>
              <w:bottom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nil"/>
              <w:left w:val="single" w:sz="4" w:space="0" w:color="auto"/>
              <w:bottom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A42</w:t>
            </w:r>
            <w:r>
              <w:rPr>
                <w:rFonts w:ascii="Times New Roman" w:eastAsia="方正楷体_GBK" w:hAnsi="Times New Roman" w:cs="方正楷体_GBK" w:hint="eastAsia"/>
                <w:kern w:val="0"/>
                <w:sz w:val="22"/>
              </w:rPr>
              <w:t>预算编制规范性</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部门整体预算编制是否严格按照时间和流程要求执行，材料是否符合要求，用以反映和考核部门整体预算编制的规范化情况。</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r>
              <w:rPr>
                <w:rFonts w:ascii="Times New Roman" w:eastAsia="方正楷体_GBK" w:hAnsi="Times New Roman" w:cs="方正楷体_GBK" w:hint="eastAsia"/>
                <w:kern w:val="0"/>
                <w:sz w:val="22"/>
              </w:rPr>
              <w:br/>
              <w:t>1</w:t>
            </w:r>
            <w:r>
              <w:rPr>
                <w:rFonts w:ascii="Times New Roman" w:eastAsia="方正楷体_GBK" w:hAnsi="Times New Roman" w:cs="方正楷体_GBK" w:hint="eastAsia"/>
                <w:kern w:val="0"/>
                <w:sz w:val="22"/>
              </w:rPr>
              <w:t>．部门预算是否严格按照财政部门关于预算编制的时间和流程执行：</w:t>
            </w:r>
            <w:r>
              <w:rPr>
                <w:rFonts w:ascii="Times New Roman" w:eastAsia="方正楷体_GBK" w:hAnsi="Times New Roman" w:cs="方正楷体_GBK" w:hint="eastAsia"/>
                <w:kern w:val="0"/>
                <w:sz w:val="22"/>
              </w:rPr>
              <w:br/>
              <w:t>2</w:t>
            </w:r>
            <w:r>
              <w:rPr>
                <w:rFonts w:ascii="Times New Roman" w:eastAsia="方正楷体_GBK" w:hAnsi="Times New Roman" w:cs="方正楷体_GBK" w:hint="eastAsia"/>
                <w:kern w:val="0"/>
                <w:sz w:val="22"/>
              </w:rPr>
              <w:t>．各项</w:t>
            </w:r>
            <w:proofErr w:type="gramStart"/>
            <w:r>
              <w:rPr>
                <w:rFonts w:ascii="Times New Roman" w:eastAsia="方正楷体_GBK" w:hAnsi="Times New Roman" w:cs="方正楷体_GBK" w:hint="eastAsia"/>
                <w:kern w:val="0"/>
                <w:sz w:val="22"/>
              </w:rPr>
              <w:t>目是否</w:t>
            </w:r>
            <w:proofErr w:type="gramEnd"/>
            <w:r>
              <w:rPr>
                <w:rFonts w:ascii="Times New Roman" w:eastAsia="方正楷体_GBK" w:hAnsi="Times New Roman" w:cs="方正楷体_GBK" w:hint="eastAsia"/>
                <w:kern w:val="0"/>
                <w:sz w:val="22"/>
              </w:rPr>
              <w:t>按照规定的程序申请设立，事前是否经过必要的可行性研究、专家论证、风险评估、绩效评估、集体决策等；</w:t>
            </w:r>
            <w:r>
              <w:rPr>
                <w:rFonts w:ascii="Times New Roman" w:eastAsia="方正楷体_GBK" w:hAnsi="Times New Roman" w:cs="方正楷体_GBK" w:hint="eastAsia"/>
                <w:kern w:val="0"/>
                <w:sz w:val="22"/>
              </w:rPr>
              <w:br/>
              <w:t>3</w:t>
            </w:r>
            <w:r>
              <w:rPr>
                <w:rFonts w:ascii="Times New Roman" w:eastAsia="方正楷体_GBK" w:hAnsi="Times New Roman" w:cs="方正楷体_GBK" w:hint="eastAsia"/>
                <w:kern w:val="0"/>
                <w:sz w:val="22"/>
              </w:rPr>
              <w:t>．审批文件、材料是否符合相关要求。</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lastRenderedPageBreak/>
              <w:t>评分规则：</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以上评价要点各占</w:t>
            </w:r>
            <w:r>
              <w:rPr>
                <w:rFonts w:ascii="Times New Roman" w:eastAsia="方正楷体_GBK" w:hAnsi="Times New Roman" w:cs="方正楷体_GBK" w:hint="eastAsia"/>
                <w:kern w:val="0"/>
                <w:sz w:val="22"/>
              </w:rPr>
              <w:t>1/3</w:t>
            </w:r>
            <w:r>
              <w:rPr>
                <w:rFonts w:ascii="Times New Roman" w:eastAsia="方正楷体_GBK" w:hAnsi="Times New Roman" w:cs="方正楷体_GBK" w:hint="eastAsia"/>
                <w:kern w:val="0"/>
                <w:sz w:val="22"/>
              </w:rPr>
              <w:t>权重，每个要点执行情况分好、中、差三档，按</w:t>
            </w:r>
            <w:r>
              <w:rPr>
                <w:rFonts w:ascii="Times New Roman" w:eastAsia="方正楷体_GBK" w:hAnsi="Times New Roman" w:cs="方正楷体_GBK" w:hint="eastAsia"/>
                <w:kern w:val="0"/>
                <w:sz w:val="22"/>
              </w:rPr>
              <w:t>100%-80%</w:t>
            </w:r>
            <w:r>
              <w:rPr>
                <w:rFonts w:ascii="Times New Roman" w:eastAsia="方正楷体_GBK" w:hAnsi="Times New Roman" w:cs="方正楷体_GBK" w:hint="eastAsia"/>
                <w:kern w:val="0"/>
                <w:sz w:val="22"/>
              </w:rPr>
              <w:t>（含）、</w:t>
            </w:r>
            <w:r>
              <w:rPr>
                <w:rFonts w:ascii="Times New Roman" w:eastAsia="方正楷体_GBK" w:hAnsi="Times New Roman" w:cs="方正楷体_GBK" w:hint="eastAsia"/>
                <w:kern w:val="0"/>
                <w:sz w:val="22"/>
              </w:rPr>
              <w:t>80%-60%</w:t>
            </w:r>
            <w:r>
              <w:rPr>
                <w:rFonts w:ascii="Times New Roman" w:eastAsia="方正楷体_GBK" w:hAnsi="Times New Roman" w:cs="方正楷体_GBK" w:hint="eastAsia"/>
                <w:kern w:val="0"/>
                <w:sz w:val="22"/>
              </w:rPr>
              <w:t>（含）、</w:t>
            </w:r>
            <w:r>
              <w:rPr>
                <w:rFonts w:ascii="Times New Roman" w:eastAsia="方正楷体_GBK" w:hAnsi="Times New Roman" w:cs="方正楷体_GBK" w:hint="eastAsia"/>
                <w:kern w:val="0"/>
                <w:sz w:val="22"/>
              </w:rPr>
              <w:t>60%-0%</w:t>
            </w:r>
            <w:r>
              <w:rPr>
                <w:rFonts w:ascii="Times New Roman" w:eastAsia="方正楷体_GBK" w:hAnsi="Times New Roman" w:cs="方正楷体_GBK" w:hint="eastAsia"/>
                <w:kern w:val="0"/>
                <w:sz w:val="22"/>
              </w:rPr>
              <w:t>评分。</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规范</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部门整体预算编制严格按照时间和流程要求执行，材料符合要求，预算编制规范。</w:t>
            </w:r>
          </w:p>
        </w:tc>
      </w:tr>
      <w:tr w:rsidR="001A79DF">
        <w:trPr>
          <w:trHeight w:val="23"/>
        </w:trPr>
        <w:tc>
          <w:tcPr>
            <w:tcW w:w="263" w:type="pct"/>
            <w:vMerge w:val="restart"/>
            <w:tcBorders>
              <w:top w:val="nil"/>
              <w:left w:val="single" w:sz="4" w:space="0" w:color="auto"/>
              <w:bottom w:val="nil"/>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B</w:t>
            </w:r>
            <w:r>
              <w:rPr>
                <w:rFonts w:ascii="Times New Roman" w:eastAsia="方正楷体_GBK" w:hAnsi="Times New Roman" w:cs="方正楷体_GBK" w:hint="eastAsia"/>
                <w:kern w:val="0"/>
                <w:sz w:val="22"/>
              </w:rPr>
              <w:t>过程</w:t>
            </w:r>
          </w:p>
        </w:tc>
        <w:tc>
          <w:tcPr>
            <w:tcW w:w="321" w:type="pct"/>
            <w:vMerge w:val="restart"/>
            <w:tcBorders>
              <w:top w:val="nil"/>
              <w:left w:val="single" w:sz="4" w:space="0" w:color="auto"/>
              <w:bottom w:val="nil"/>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B1</w:t>
            </w:r>
            <w:r>
              <w:rPr>
                <w:rFonts w:ascii="Times New Roman" w:eastAsia="方正楷体_GBK" w:hAnsi="Times New Roman" w:cs="方正楷体_GBK" w:hint="eastAsia"/>
                <w:kern w:val="0"/>
                <w:sz w:val="22"/>
              </w:rPr>
              <w:t>预算执行</w:t>
            </w:r>
          </w:p>
        </w:tc>
        <w:tc>
          <w:tcPr>
            <w:tcW w:w="49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B11</w:t>
            </w:r>
            <w:r>
              <w:rPr>
                <w:rFonts w:ascii="Times New Roman" w:eastAsia="方正楷体_GBK" w:hAnsi="Times New Roman" w:cs="方正楷体_GBK" w:hint="eastAsia"/>
                <w:kern w:val="0"/>
                <w:sz w:val="22"/>
              </w:rPr>
              <w:t>非税收入预算完成率</w:t>
            </w:r>
          </w:p>
        </w:tc>
        <w:tc>
          <w:tcPr>
            <w:tcW w:w="795"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本年度实际非税收入完成数与年初非税收入预算数的比率，用以反映和考核单位非税收入完成执行情况。</w:t>
            </w:r>
          </w:p>
        </w:tc>
        <w:tc>
          <w:tcPr>
            <w:tcW w:w="163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非税收入预算完成率</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（非税收入实际完成数</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非税收入预算数）</w:t>
            </w:r>
            <w:r>
              <w:rPr>
                <w:rFonts w:ascii="Times New Roman" w:eastAsia="方正楷体_GBK" w:hAnsi="Times New Roman" w:cs="方正楷体_GBK" w:hint="eastAsia"/>
                <w:kern w:val="0"/>
                <w:sz w:val="22"/>
              </w:rPr>
              <w:t>*100%</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非税收入实际完成数：部门本年度实际完成的非税收入；</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预算数：财政部门批复的本年度部门非税收入预算数。</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评分规则：</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lastRenderedPageBreak/>
              <w:t>得分</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非税收入预算完成率</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分值。</w:t>
            </w:r>
          </w:p>
        </w:tc>
        <w:tc>
          <w:tcPr>
            <w:tcW w:w="277"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100%</w:t>
            </w:r>
          </w:p>
        </w:tc>
        <w:tc>
          <w:tcPr>
            <w:tcW w:w="26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26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0</w:t>
            </w:r>
          </w:p>
        </w:tc>
        <w:tc>
          <w:tcPr>
            <w:tcW w:w="691"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年初无非税收入预算。</w:t>
            </w:r>
          </w:p>
        </w:tc>
      </w:tr>
      <w:tr w:rsidR="001A79DF">
        <w:trPr>
          <w:trHeight w:val="23"/>
        </w:trPr>
        <w:tc>
          <w:tcPr>
            <w:tcW w:w="263" w:type="pct"/>
            <w:vMerge/>
            <w:tcBorders>
              <w:top w:val="nil"/>
              <w:left w:val="single" w:sz="4" w:space="0" w:color="auto"/>
              <w:bottom w:val="nil"/>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nil"/>
              <w:left w:val="single" w:sz="4" w:space="0" w:color="auto"/>
              <w:bottom w:val="nil"/>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B12</w:t>
            </w:r>
            <w:r>
              <w:rPr>
                <w:rFonts w:ascii="Times New Roman" w:eastAsia="方正楷体_GBK" w:hAnsi="Times New Roman" w:cs="方正楷体_GBK" w:hint="eastAsia"/>
                <w:kern w:val="0"/>
                <w:sz w:val="22"/>
              </w:rPr>
              <w:t>部门预算执行率</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部门本年度预算完成数与预算数的比率，用以反映和考核部门预算完成程度。</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预算执行率</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（预算执行数</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预算数）</w:t>
            </w:r>
            <w:r>
              <w:rPr>
                <w:rFonts w:ascii="Times New Roman" w:eastAsia="方正楷体_GBK" w:hAnsi="Times New Roman" w:cs="方正楷体_GBK" w:hint="eastAsia"/>
                <w:kern w:val="0"/>
                <w:sz w:val="22"/>
              </w:rPr>
              <w:t>*100%</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预算执行数：部门本年度实际完成的预算数；</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预算数：财政部门批复的本年度部门预算数。</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评分规则：</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得分</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预算执行率</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分值。</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100%</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736" w:type="dxa"/>
            <w:tcBorders>
              <w:top w:val="nil"/>
              <w:left w:val="nil"/>
              <w:bottom w:val="single" w:sz="4" w:space="0" w:color="auto"/>
              <w:right w:val="single" w:sz="4" w:space="0" w:color="auto"/>
            </w:tcBorders>
            <w:shd w:val="clear" w:color="000000" w:fill="FFFFFF"/>
            <w:vAlign w:val="center"/>
          </w:tcPr>
          <w:p w:rsidR="001A79DF" w:rsidRDefault="00871592">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1960" w:type="dxa"/>
            <w:tcBorders>
              <w:top w:val="nil"/>
              <w:left w:val="nil"/>
              <w:bottom w:val="single" w:sz="4" w:space="0" w:color="auto"/>
              <w:right w:val="single" w:sz="4" w:space="0" w:color="auto"/>
            </w:tcBorders>
            <w:shd w:val="clear" w:color="000000" w:fill="FFFFFF"/>
            <w:vAlign w:val="center"/>
          </w:tcPr>
          <w:p w:rsidR="001A79DF" w:rsidRDefault="00E44CC8" w:rsidP="00E44CC8">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全年</w:t>
            </w:r>
            <w:r w:rsidR="00E70674">
              <w:rPr>
                <w:rFonts w:ascii="Times New Roman" w:eastAsia="方正楷体_GBK" w:hAnsi="Times New Roman" w:cs="方正楷体_GBK"/>
                <w:kern w:val="0"/>
                <w:sz w:val="22"/>
              </w:rPr>
              <w:t>预算收入</w:t>
            </w:r>
            <w:r>
              <w:rPr>
                <w:rFonts w:ascii="Times New Roman" w:eastAsia="方正楷体_GBK" w:hAnsi="Times New Roman" w:cs="方正楷体_GBK" w:hint="eastAsia"/>
                <w:kern w:val="0"/>
                <w:sz w:val="22"/>
              </w:rPr>
              <w:t>13689.34</w:t>
            </w:r>
            <w:r w:rsidR="00E70674">
              <w:rPr>
                <w:rFonts w:ascii="Times New Roman" w:eastAsia="方正楷体_GBK" w:hAnsi="Times New Roman" w:cs="方正楷体_GBK"/>
                <w:kern w:val="0"/>
                <w:sz w:val="22"/>
              </w:rPr>
              <w:t>万元，年度决算支出</w:t>
            </w:r>
            <w:r>
              <w:rPr>
                <w:rFonts w:ascii="Times New Roman" w:eastAsia="方正楷体_GBK" w:hAnsi="Times New Roman" w:cs="方正楷体_GBK" w:hint="eastAsia"/>
                <w:kern w:val="0"/>
                <w:sz w:val="22"/>
              </w:rPr>
              <w:t>13734.22</w:t>
            </w:r>
            <w:r w:rsidR="00E70674">
              <w:rPr>
                <w:rFonts w:ascii="Times New Roman" w:eastAsia="方正楷体_GBK" w:hAnsi="Times New Roman" w:cs="方正楷体_GBK"/>
                <w:kern w:val="0"/>
                <w:sz w:val="22"/>
              </w:rPr>
              <w:t>万元，预算执行率</w:t>
            </w:r>
            <w:r>
              <w:rPr>
                <w:rFonts w:ascii="Times New Roman" w:eastAsia="方正楷体_GBK" w:hAnsi="Times New Roman" w:cs="方正楷体_GBK" w:hint="eastAsia"/>
                <w:kern w:val="0"/>
                <w:sz w:val="22"/>
              </w:rPr>
              <w:t>99.93</w:t>
            </w:r>
            <w:r w:rsidR="00E70674">
              <w:rPr>
                <w:rFonts w:ascii="Times New Roman" w:eastAsia="方正楷体_GBK" w:hAnsi="Times New Roman" w:cs="方正楷体_GBK"/>
                <w:kern w:val="0"/>
                <w:sz w:val="22"/>
              </w:rPr>
              <w:t>%</w:t>
            </w:r>
            <w:r w:rsidR="00E70674">
              <w:rPr>
                <w:rFonts w:ascii="Times New Roman" w:eastAsia="方正楷体_GBK" w:hAnsi="Times New Roman" w:cs="方正楷体_GBK" w:hint="eastAsia"/>
                <w:kern w:val="0"/>
                <w:sz w:val="22"/>
              </w:rPr>
              <w:t>。</w:t>
            </w:r>
          </w:p>
        </w:tc>
      </w:tr>
      <w:tr w:rsidR="001A79DF">
        <w:trPr>
          <w:trHeight w:val="23"/>
        </w:trPr>
        <w:tc>
          <w:tcPr>
            <w:tcW w:w="263" w:type="pct"/>
            <w:vMerge/>
            <w:tcBorders>
              <w:top w:val="nil"/>
              <w:left w:val="single" w:sz="4" w:space="0" w:color="auto"/>
              <w:bottom w:val="nil"/>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nil"/>
              <w:left w:val="single" w:sz="4" w:space="0" w:color="auto"/>
              <w:bottom w:val="nil"/>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B13</w:t>
            </w:r>
            <w:r>
              <w:rPr>
                <w:rFonts w:ascii="Times New Roman" w:eastAsia="方正楷体_GBK" w:hAnsi="Times New Roman" w:cs="方正楷体_GBK" w:hint="eastAsia"/>
                <w:kern w:val="0"/>
                <w:sz w:val="22"/>
              </w:rPr>
              <w:t>预算调整率</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部门本年度预算调整数与预算数的比率，用以反映和考核部门预算的调整程度。</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预算调整率</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（预算调整数</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预算数）</w:t>
            </w:r>
            <w:r>
              <w:rPr>
                <w:rFonts w:ascii="Times New Roman" w:eastAsia="方正楷体_GBK" w:hAnsi="Times New Roman" w:cs="方正楷体_GBK" w:hint="eastAsia"/>
                <w:kern w:val="0"/>
                <w:sz w:val="22"/>
              </w:rPr>
              <w:t>*100%</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预算调整数：部门（单位）在本年度内涉及预算的追加、追减或结构调整的资金总和（因落实国家政策、发生不可抗力、上级部门或本级</w:t>
            </w:r>
            <w:r>
              <w:rPr>
                <w:rFonts w:ascii="Times New Roman" w:eastAsia="方正楷体_GBK" w:hAnsi="Times New Roman" w:cs="方正楷体_GBK" w:hint="eastAsia"/>
                <w:kern w:val="0"/>
                <w:sz w:val="22"/>
              </w:rPr>
              <w:lastRenderedPageBreak/>
              <w:t>党委、政府临时交办而产生的调整及上级转移支付金额调整除外）。</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评分规则：</w:t>
            </w:r>
            <w:r>
              <w:rPr>
                <w:rFonts w:ascii="Times New Roman" w:eastAsia="方正楷体_GBK" w:hAnsi="Times New Roman" w:cs="方正楷体_GBK" w:hint="eastAsia"/>
                <w:kern w:val="0"/>
                <w:sz w:val="22"/>
              </w:rPr>
              <w:br/>
              <w:t>1</w:t>
            </w:r>
            <w:r>
              <w:rPr>
                <w:rFonts w:ascii="Times New Roman" w:eastAsia="方正楷体_GBK" w:hAnsi="Times New Roman" w:cs="方正楷体_GBK" w:hint="eastAsia"/>
                <w:kern w:val="0"/>
                <w:sz w:val="22"/>
              </w:rPr>
              <w:t>．比率</w:t>
            </w:r>
            <w:r>
              <w:rPr>
                <w:rFonts w:ascii="Times New Roman" w:eastAsia="方正楷体_GBK" w:hAnsi="Times New Roman" w:cs="方正楷体_GBK" w:hint="eastAsia"/>
                <w:kern w:val="0"/>
                <w:sz w:val="22"/>
              </w:rPr>
              <w:t>=0%</w:t>
            </w:r>
            <w:r>
              <w:rPr>
                <w:rFonts w:ascii="Times New Roman" w:eastAsia="方正楷体_GBK" w:hAnsi="Times New Roman" w:cs="方正楷体_GBK" w:hint="eastAsia"/>
                <w:kern w:val="0"/>
                <w:sz w:val="22"/>
              </w:rPr>
              <w:t>，得满分；</w:t>
            </w:r>
            <w:r>
              <w:rPr>
                <w:rFonts w:ascii="Times New Roman" w:eastAsia="方正楷体_GBK" w:hAnsi="Times New Roman" w:cs="方正楷体_GBK" w:hint="eastAsia"/>
                <w:kern w:val="0"/>
                <w:sz w:val="22"/>
              </w:rPr>
              <w:t>2</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20%</w:t>
            </w:r>
            <w:r>
              <w:rPr>
                <w:rFonts w:ascii="Times New Roman" w:eastAsia="方正楷体_GBK" w:hAnsi="Times New Roman" w:cs="方正楷体_GBK" w:hint="eastAsia"/>
                <w:kern w:val="0"/>
                <w:sz w:val="22"/>
              </w:rPr>
              <w:t>≤比率＜</w:t>
            </w:r>
            <w:r>
              <w:rPr>
                <w:rFonts w:ascii="Times New Roman" w:eastAsia="方正楷体_GBK" w:hAnsi="Times New Roman" w:cs="方正楷体_GBK" w:hint="eastAsia"/>
                <w:kern w:val="0"/>
                <w:sz w:val="22"/>
              </w:rPr>
              <w:t>0%</w:t>
            </w:r>
            <w:r>
              <w:rPr>
                <w:rFonts w:ascii="Times New Roman" w:eastAsia="方正楷体_GBK" w:hAnsi="Times New Roman" w:cs="方正楷体_GBK" w:hint="eastAsia"/>
                <w:kern w:val="0"/>
                <w:sz w:val="22"/>
              </w:rPr>
              <w:t>，每增加</w:t>
            </w:r>
            <w:r>
              <w:rPr>
                <w:rFonts w:ascii="Times New Roman" w:eastAsia="方正楷体_GBK" w:hAnsi="Times New Roman" w:cs="方正楷体_GBK" w:hint="eastAsia"/>
                <w:kern w:val="0"/>
                <w:sz w:val="22"/>
              </w:rPr>
              <w:t>1%</w:t>
            </w:r>
            <w:r>
              <w:rPr>
                <w:rFonts w:ascii="Times New Roman" w:eastAsia="方正楷体_GBK" w:hAnsi="Times New Roman" w:cs="方正楷体_GBK" w:hint="eastAsia"/>
                <w:kern w:val="0"/>
                <w:sz w:val="22"/>
              </w:rPr>
              <w:t>，扣</w:t>
            </w:r>
            <w:r>
              <w:rPr>
                <w:rFonts w:ascii="Times New Roman" w:eastAsia="方正楷体_GBK" w:hAnsi="Times New Roman" w:cs="方正楷体_GBK" w:hint="eastAsia"/>
                <w:kern w:val="0"/>
                <w:sz w:val="22"/>
              </w:rPr>
              <w:t>5%</w:t>
            </w:r>
            <w:r>
              <w:rPr>
                <w:rFonts w:ascii="Times New Roman" w:eastAsia="方正楷体_GBK" w:hAnsi="Times New Roman" w:cs="方正楷体_GBK" w:hint="eastAsia"/>
                <w:kern w:val="0"/>
                <w:sz w:val="22"/>
              </w:rPr>
              <w:t>的权重分；</w:t>
            </w:r>
            <w:r>
              <w:rPr>
                <w:rFonts w:ascii="Times New Roman" w:eastAsia="方正楷体_GBK" w:hAnsi="Times New Roman" w:cs="方正楷体_GBK" w:hint="eastAsia"/>
                <w:kern w:val="0"/>
                <w:sz w:val="22"/>
              </w:rPr>
              <w:t>3</w:t>
            </w:r>
            <w:r>
              <w:rPr>
                <w:rFonts w:ascii="Times New Roman" w:eastAsia="方正楷体_GBK" w:hAnsi="Times New Roman" w:cs="方正楷体_GBK" w:hint="eastAsia"/>
                <w:kern w:val="0"/>
                <w:sz w:val="22"/>
              </w:rPr>
              <w:t>．比率＞</w:t>
            </w:r>
            <w:r>
              <w:rPr>
                <w:rFonts w:ascii="Times New Roman" w:eastAsia="方正楷体_GBK" w:hAnsi="Times New Roman" w:cs="方正楷体_GBK" w:hint="eastAsia"/>
                <w:kern w:val="0"/>
                <w:sz w:val="22"/>
              </w:rPr>
              <w:t>20%</w:t>
            </w:r>
            <w:r>
              <w:rPr>
                <w:rFonts w:ascii="Times New Roman" w:eastAsia="方正楷体_GBK" w:hAnsi="Times New Roman" w:cs="方正楷体_GBK" w:hint="eastAsia"/>
                <w:kern w:val="0"/>
                <w:sz w:val="22"/>
              </w:rPr>
              <w:t>，不得分。</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0%</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736" w:type="dxa"/>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1960" w:type="dxa"/>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预算调整数</w:t>
            </w:r>
            <w:r>
              <w:rPr>
                <w:rFonts w:ascii="Times New Roman" w:eastAsia="方正楷体_GBK" w:hAnsi="Times New Roman" w:cs="方正楷体_GBK" w:hint="eastAsia"/>
                <w:kern w:val="0"/>
                <w:sz w:val="22"/>
              </w:rPr>
              <w:t>1653.98</w:t>
            </w:r>
            <w:r>
              <w:rPr>
                <w:rFonts w:ascii="Times New Roman" w:eastAsia="方正楷体_GBK" w:hAnsi="Times New Roman" w:cs="方正楷体_GBK" w:hint="eastAsia"/>
                <w:kern w:val="0"/>
                <w:sz w:val="22"/>
              </w:rPr>
              <w:t>万元是政府临时交办而产生的调整及上级转移支付金额调</w:t>
            </w:r>
            <w:r>
              <w:rPr>
                <w:rFonts w:ascii="Times New Roman" w:eastAsia="方正楷体_GBK" w:hAnsi="Times New Roman" w:cs="方正楷体_GBK" w:hint="eastAsia"/>
                <w:kern w:val="0"/>
                <w:sz w:val="22"/>
              </w:rPr>
              <w:lastRenderedPageBreak/>
              <w:t>整，不计</w:t>
            </w:r>
            <w:proofErr w:type="gramStart"/>
            <w:r>
              <w:rPr>
                <w:rFonts w:ascii="Times New Roman" w:eastAsia="方正楷体_GBK" w:hAnsi="Times New Roman" w:cs="方正楷体_GBK" w:hint="eastAsia"/>
                <w:kern w:val="0"/>
                <w:sz w:val="22"/>
              </w:rPr>
              <w:t>入调整</w:t>
            </w:r>
            <w:proofErr w:type="gramEnd"/>
            <w:r>
              <w:rPr>
                <w:rFonts w:ascii="Times New Roman" w:eastAsia="方正楷体_GBK" w:hAnsi="Times New Roman" w:cs="方正楷体_GBK" w:hint="eastAsia"/>
                <w:kern w:val="0"/>
                <w:sz w:val="22"/>
              </w:rPr>
              <w:t>数，</w:t>
            </w:r>
            <w:proofErr w:type="gramStart"/>
            <w:r>
              <w:rPr>
                <w:rFonts w:ascii="Times New Roman" w:eastAsia="方正楷体_GBK" w:hAnsi="Times New Roman" w:cs="方正楷体_GBK" w:hint="eastAsia"/>
                <w:kern w:val="0"/>
                <w:sz w:val="22"/>
              </w:rPr>
              <w:t>故预算</w:t>
            </w:r>
            <w:proofErr w:type="gramEnd"/>
            <w:r>
              <w:rPr>
                <w:rFonts w:ascii="Times New Roman" w:eastAsia="方正楷体_GBK" w:hAnsi="Times New Roman" w:cs="方正楷体_GBK" w:hint="eastAsia"/>
                <w:kern w:val="0"/>
                <w:sz w:val="22"/>
              </w:rPr>
              <w:t>调整数为</w:t>
            </w:r>
            <w:r>
              <w:rPr>
                <w:rFonts w:ascii="Times New Roman" w:eastAsia="方正楷体_GBK" w:hAnsi="Times New Roman" w:cs="方正楷体_GBK" w:hint="eastAsia"/>
                <w:kern w:val="0"/>
                <w:sz w:val="22"/>
              </w:rPr>
              <w:t>0</w:t>
            </w:r>
            <w:r>
              <w:rPr>
                <w:rFonts w:ascii="Times New Roman" w:eastAsia="方正楷体_GBK" w:hAnsi="Times New Roman" w:cs="方正楷体_GBK" w:hint="eastAsia"/>
                <w:kern w:val="0"/>
                <w:sz w:val="22"/>
              </w:rPr>
              <w:t>。</w:t>
            </w:r>
          </w:p>
        </w:tc>
      </w:tr>
      <w:tr w:rsidR="001A79DF">
        <w:trPr>
          <w:trHeight w:val="23"/>
        </w:trPr>
        <w:tc>
          <w:tcPr>
            <w:tcW w:w="263" w:type="pct"/>
            <w:vMerge/>
            <w:tcBorders>
              <w:top w:val="nil"/>
              <w:left w:val="single" w:sz="4" w:space="0" w:color="auto"/>
              <w:bottom w:val="nil"/>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nil"/>
              <w:left w:val="single" w:sz="4" w:space="0" w:color="auto"/>
              <w:bottom w:val="nil"/>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B14</w:t>
            </w:r>
            <w:r>
              <w:rPr>
                <w:rFonts w:ascii="Times New Roman" w:eastAsia="方正楷体_GBK" w:hAnsi="Times New Roman" w:cs="方正楷体_GBK" w:hint="eastAsia"/>
                <w:kern w:val="0"/>
                <w:sz w:val="22"/>
              </w:rPr>
              <w:t>支付进度符合率</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部门实际支付进度与既定支付进度的比率，用以反映和考核部门预算执行的及时性和均衡性程度。</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支付进度符合率</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（实际支付进度</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既定支付进度）</w:t>
            </w:r>
            <w:r>
              <w:rPr>
                <w:rFonts w:ascii="Times New Roman" w:eastAsia="方正楷体_GBK" w:hAnsi="Times New Roman" w:cs="方正楷体_GBK" w:hint="eastAsia"/>
                <w:kern w:val="0"/>
                <w:sz w:val="22"/>
              </w:rPr>
              <w:t>*100%</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实际支付进度：部门在规定时点（如半年度）的支出预算执行总数与年度支出预算数的比率。</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lastRenderedPageBreak/>
              <w:t>既定支付进度：由部门在申报部门整体绩效目标时，参照序时支付进度、前三年支付进度、同级部门平均支付进度水平等确定的，在规定时点（如半年度）应达到的支付进度（比率）。</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评分规则：</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得分</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支付进度符合率</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分值。</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100%</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支付进度符合率为</w:t>
            </w:r>
            <w:r>
              <w:rPr>
                <w:rFonts w:ascii="Times New Roman" w:eastAsia="方正楷体_GBK" w:hAnsi="Times New Roman" w:cs="方正楷体_GBK" w:hint="eastAsia"/>
                <w:kern w:val="0"/>
                <w:sz w:val="22"/>
              </w:rPr>
              <w:t>100%</w:t>
            </w:r>
            <w:r>
              <w:rPr>
                <w:rFonts w:ascii="Times New Roman" w:eastAsia="方正楷体_GBK" w:hAnsi="Times New Roman" w:cs="方正楷体_GBK" w:hint="eastAsia"/>
                <w:kern w:val="0"/>
                <w:sz w:val="22"/>
              </w:rPr>
              <w:t>。</w:t>
            </w:r>
          </w:p>
        </w:tc>
      </w:tr>
      <w:tr w:rsidR="001A79DF">
        <w:trPr>
          <w:trHeight w:val="23"/>
        </w:trPr>
        <w:tc>
          <w:tcPr>
            <w:tcW w:w="263" w:type="pct"/>
            <w:vMerge/>
            <w:tcBorders>
              <w:top w:val="nil"/>
              <w:left w:val="single" w:sz="4" w:space="0" w:color="auto"/>
              <w:bottom w:val="nil"/>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nil"/>
              <w:left w:val="single" w:sz="4" w:space="0" w:color="auto"/>
              <w:bottom w:val="nil"/>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B15</w:t>
            </w:r>
            <w:r>
              <w:rPr>
                <w:rFonts w:ascii="Times New Roman" w:eastAsia="方正楷体_GBK" w:hAnsi="Times New Roman" w:cs="方正楷体_GBK" w:hint="eastAsia"/>
                <w:kern w:val="0"/>
                <w:sz w:val="22"/>
              </w:rPr>
              <w:t>结转结余率</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部门本年度结转结余总额与调整预算数的比率，用以反映和考核部门对本年度结转结余资金的实际控制程度。</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结转结余率</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结转结余总额</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调整预算数。</w:t>
            </w:r>
            <w:r>
              <w:rPr>
                <w:rFonts w:ascii="Times New Roman" w:eastAsia="方正楷体_GBK" w:hAnsi="Times New Roman" w:cs="方正楷体_GBK" w:hint="eastAsia"/>
                <w:kern w:val="0"/>
                <w:sz w:val="22"/>
              </w:rPr>
              <w:t>*100%</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结转结余总额：部门本年度的结转资金与结余资金之和（以决算数为准，“三公”经费未执行数和政府采购节约资金等视同已支出）。</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lastRenderedPageBreak/>
              <w:t>评分规则：</w:t>
            </w:r>
            <w:r>
              <w:rPr>
                <w:rFonts w:ascii="Times New Roman" w:eastAsia="方正楷体_GBK" w:hAnsi="Times New Roman" w:cs="方正楷体_GBK" w:hint="eastAsia"/>
                <w:kern w:val="0"/>
                <w:sz w:val="22"/>
              </w:rPr>
              <w:br/>
              <w:t>I</w:t>
            </w:r>
            <w:r>
              <w:rPr>
                <w:rFonts w:ascii="Times New Roman" w:eastAsia="方正楷体_GBK" w:hAnsi="Times New Roman" w:cs="方正楷体_GBK" w:hint="eastAsia"/>
                <w:kern w:val="0"/>
                <w:sz w:val="22"/>
              </w:rPr>
              <w:t>．比率</w:t>
            </w:r>
            <w:r>
              <w:rPr>
                <w:rFonts w:ascii="Times New Roman" w:eastAsia="方正楷体_GBK" w:hAnsi="Times New Roman" w:cs="方正楷体_GBK" w:hint="eastAsia"/>
                <w:kern w:val="0"/>
                <w:sz w:val="22"/>
              </w:rPr>
              <w:t>=0%</w:t>
            </w:r>
            <w:r>
              <w:rPr>
                <w:rFonts w:ascii="Times New Roman" w:eastAsia="方正楷体_GBK" w:hAnsi="Times New Roman" w:cs="方正楷体_GBK" w:hint="eastAsia"/>
                <w:kern w:val="0"/>
                <w:sz w:val="22"/>
              </w:rPr>
              <w:t>，得满分；</w:t>
            </w:r>
            <w:r>
              <w:rPr>
                <w:rFonts w:ascii="Times New Roman" w:eastAsia="方正楷体_GBK" w:hAnsi="Times New Roman" w:cs="方正楷体_GBK" w:hint="eastAsia"/>
                <w:kern w:val="0"/>
                <w:sz w:val="22"/>
              </w:rPr>
              <w:br/>
              <w:t>2</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10%</w:t>
            </w:r>
            <w:r>
              <w:rPr>
                <w:rFonts w:ascii="Times New Roman" w:eastAsia="方正楷体_GBK" w:hAnsi="Times New Roman" w:cs="方正楷体_GBK" w:hint="eastAsia"/>
                <w:kern w:val="0"/>
                <w:sz w:val="22"/>
              </w:rPr>
              <w:t>≥比率＞</w:t>
            </w:r>
            <w:r>
              <w:rPr>
                <w:rFonts w:ascii="Times New Roman" w:eastAsia="方正楷体_GBK" w:hAnsi="Times New Roman" w:cs="方正楷体_GBK" w:hint="eastAsia"/>
                <w:kern w:val="0"/>
                <w:sz w:val="22"/>
              </w:rPr>
              <w:t>0%</w:t>
            </w:r>
            <w:r>
              <w:rPr>
                <w:rFonts w:ascii="Times New Roman" w:eastAsia="方正楷体_GBK" w:hAnsi="Times New Roman" w:cs="方正楷体_GBK" w:hint="eastAsia"/>
                <w:kern w:val="0"/>
                <w:sz w:val="22"/>
              </w:rPr>
              <w:t>，每增加</w:t>
            </w:r>
            <w:r>
              <w:rPr>
                <w:rFonts w:ascii="Times New Roman" w:eastAsia="方正楷体_GBK" w:hAnsi="Times New Roman" w:cs="方正楷体_GBK" w:hint="eastAsia"/>
                <w:kern w:val="0"/>
                <w:sz w:val="22"/>
              </w:rPr>
              <w:t>1%</w:t>
            </w:r>
            <w:r>
              <w:rPr>
                <w:rFonts w:ascii="Times New Roman" w:eastAsia="方正楷体_GBK" w:hAnsi="Times New Roman" w:cs="方正楷体_GBK" w:hint="eastAsia"/>
                <w:kern w:val="0"/>
                <w:sz w:val="22"/>
              </w:rPr>
              <w:t>，扣</w:t>
            </w:r>
            <w:r>
              <w:rPr>
                <w:rFonts w:ascii="Times New Roman" w:eastAsia="方正楷体_GBK" w:hAnsi="Times New Roman" w:cs="方正楷体_GBK" w:hint="eastAsia"/>
                <w:kern w:val="0"/>
                <w:sz w:val="22"/>
              </w:rPr>
              <w:t>10%</w:t>
            </w:r>
            <w:r>
              <w:rPr>
                <w:rFonts w:ascii="Times New Roman" w:eastAsia="方正楷体_GBK" w:hAnsi="Times New Roman" w:cs="方正楷体_GBK" w:hint="eastAsia"/>
                <w:kern w:val="0"/>
                <w:sz w:val="22"/>
              </w:rPr>
              <w:t>的权重分；</w:t>
            </w:r>
            <w:r>
              <w:rPr>
                <w:rFonts w:ascii="Times New Roman" w:eastAsia="方正楷体_GBK" w:hAnsi="Times New Roman" w:cs="方正楷体_GBK" w:hint="eastAsia"/>
                <w:kern w:val="0"/>
                <w:sz w:val="22"/>
              </w:rPr>
              <w:br/>
              <w:t>3</w:t>
            </w:r>
            <w:r>
              <w:rPr>
                <w:rFonts w:ascii="Times New Roman" w:eastAsia="方正楷体_GBK" w:hAnsi="Times New Roman" w:cs="方正楷体_GBK" w:hint="eastAsia"/>
                <w:kern w:val="0"/>
                <w:sz w:val="22"/>
              </w:rPr>
              <w:t>．比率＞</w:t>
            </w:r>
            <w:r>
              <w:rPr>
                <w:rFonts w:ascii="Times New Roman" w:eastAsia="方正楷体_GBK" w:hAnsi="Times New Roman" w:cs="方正楷体_GBK" w:hint="eastAsia"/>
                <w:kern w:val="0"/>
                <w:sz w:val="22"/>
              </w:rPr>
              <w:t>10%</w:t>
            </w:r>
            <w:r>
              <w:rPr>
                <w:rFonts w:ascii="Times New Roman" w:eastAsia="方正楷体_GBK" w:hAnsi="Times New Roman" w:cs="方正楷体_GBK" w:hint="eastAsia"/>
                <w:kern w:val="0"/>
                <w:sz w:val="22"/>
              </w:rPr>
              <w:t>，不得分。</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0%</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736" w:type="dxa"/>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0.9</w:t>
            </w:r>
          </w:p>
        </w:tc>
        <w:tc>
          <w:tcPr>
            <w:tcW w:w="1960" w:type="dxa"/>
            <w:tcBorders>
              <w:top w:val="nil"/>
              <w:left w:val="nil"/>
              <w:bottom w:val="single" w:sz="4" w:space="0" w:color="auto"/>
              <w:right w:val="single" w:sz="4" w:space="0" w:color="auto"/>
            </w:tcBorders>
            <w:shd w:val="clear" w:color="000000" w:fill="FFFFFF"/>
            <w:vAlign w:val="center"/>
          </w:tcPr>
          <w:p w:rsidR="001A79DF" w:rsidRDefault="00E70674" w:rsidP="00990CC6">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本年度结转结余总额</w:t>
            </w:r>
            <w:r>
              <w:rPr>
                <w:rFonts w:ascii="Times New Roman" w:eastAsia="方正楷体_GBK" w:hAnsi="Times New Roman" w:cs="方正楷体_GBK" w:hint="eastAsia"/>
                <w:kern w:val="0"/>
                <w:sz w:val="22"/>
              </w:rPr>
              <w:t>10.02</w:t>
            </w:r>
            <w:r>
              <w:rPr>
                <w:rFonts w:ascii="Times New Roman" w:eastAsia="方正楷体_GBK" w:hAnsi="Times New Roman" w:cs="方正楷体_GBK" w:hint="eastAsia"/>
                <w:kern w:val="0"/>
                <w:sz w:val="22"/>
              </w:rPr>
              <w:t>万元，全年预算数</w:t>
            </w:r>
            <w:r>
              <w:rPr>
                <w:rFonts w:ascii="Times New Roman" w:eastAsia="方正楷体_GBK" w:hAnsi="Times New Roman" w:cs="方正楷体_GBK"/>
                <w:kern w:val="0"/>
                <w:sz w:val="22"/>
              </w:rPr>
              <w:t>13</w:t>
            </w:r>
            <w:r w:rsidR="00990CC6">
              <w:rPr>
                <w:rFonts w:ascii="Times New Roman" w:eastAsia="方正楷体_GBK" w:hAnsi="Times New Roman" w:cs="方正楷体_GBK" w:hint="eastAsia"/>
                <w:kern w:val="0"/>
                <w:sz w:val="22"/>
              </w:rPr>
              <w:t>689.34</w:t>
            </w:r>
            <w:r>
              <w:rPr>
                <w:rFonts w:ascii="Times New Roman" w:eastAsia="方正楷体_GBK" w:hAnsi="Times New Roman" w:cs="方正楷体_GBK" w:hint="eastAsia"/>
                <w:kern w:val="0"/>
                <w:sz w:val="22"/>
              </w:rPr>
              <w:t>万元，结转结余率</w:t>
            </w:r>
            <w:r>
              <w:rPr>
                <w:rFonts w:ascii="Times New Roman" w:eastAsia="方正楷体_GBK" w:hAnsi="Times New Roman" w:cs="方正楷体_GBK" w:hint="eastAsia"/>
                <w:kern w:val="0"/>
                <w:sz w:val="22"/>
              </w:rPr>
              <w:t>0.07%</w:t>
            </w:r>
            <w:r>
              <w:rPr>
                <w:rFonts w:ascii="Times New Roman" w:eastAsia="方正楷体_GBK" w:hAnsi="Times New Roman" w:cs="方正楷体_GBK" w:hint="eastAsia"/>
                <w:kern w:val="0"/>
                <w:sz w:val="22"/>
              </w:rPr>
              <w:t>。按照评分标准，扣</w:t>
            </w:r>
            <w:r>
              <w:rPr>
                <w:rFonts w:ascii="Times New Roman" w:eastAsia="方正楷体_GBK" w:hAnsi="Times New Roman" w:cs="方正楷体_GBK" w:hint="eastAsia"/>
                <w:kern w:val="0"/>
                <w:sz w:val="22"/>
              </w:rPr>
              <w:lastRenderedPageBreak/>
              <w:t>0.1</w:t>
            </w:r>
            <w:r>
              <w:rPr>
                <w:rFonts w:ascii="Times New Roman" w:eastAsia="方正楷体_GBK" w:hAnsi="Times New Roman" w:cs="方正楷体_GBK" w:hint="eastAsia"/>
                <w:kern w:val="0"/>
                <w:sz w:val="22"/>
              </w:rPr>
              <w:t>分。</w:t>
            </w:r>
          </w:p>
        </w:tc>
      </w:tr>
      <w:tr w:rsidR="001A79DF">
        <w:trPr>
          <w:trHeight w:val="23"/>
        </w:trPr>
        <w:tc>
          <w:tcPr>
            <w:tcW w:w="263" w:type="pct"/>
            <w:vMerge/>
            <w:tcBorders>
              <w:top w:val="nil"/>
              <w:left w:val="single" w:sz="4" w:space="0" w:color="auto"/>
              <w:bottom w:val="nil"/>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nil"/>
              <w:left w:val="single" w:sz="4" w:space="0" w:color="auto"/>
              <w:bottom w:val="nil"/>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B16</w:t>
            </w:r>
            <w:r>
              <w:rPr>
                <w:rFonts w:ascii="Times New Roman" w:eastAsia="方正楷体_GBK" w:hAnsi="Times New Roman" w:cs="方正楷体_GBK" w:hint="eastAsia"/>
                <w:kern w:val="0"/>
                <w:sz w:val="22"/>
              </w:rPr>
              <w:t>公用经费控制率</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部门本年度实际支出的公用经费总额与预算安排的公用经费总额的比率。用以反映和考核部门对机构运转成本的实际控制程度。</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公用经费控制率</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（实际支出公用经费总额</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预算安排公用经费总额）</w:t>
            </w:r>
            <w:r>
              <w:rPr>
                <w:rFonts w:ascii="Times New Roman" w:eastAsia="方正楷体_GBK" w:hAnsi="Times New Roman" w:cs="方正楷体_GBK" w:hint="eastAsia"/>
                <w:kern w:val="0"/>
                <w:sz w:val="22"/>
              </w:rPr>
              <w:t>*100%</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评分规则：</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比率≤</w:t>
            </w:r>
            <w:r>
              <w:rPr>
                <w:rFonts w:ascii="Times New Roman" w:eastAsia="方正楷体_GBK" w:hAnsi="Times New Roman" w:cs="方正楷体_GBK" w:hint="eastAsia"/>
                <w:kern w:val="0"/>
                <w:sz w:val="22"/>
              </w:rPr>
              <w:t>100%</w:t>
            </w:r>
            <w:r>
              <w:rPr>
                <w:rFonts w:ascii="Times New Roman" w:eastAsia="方正楷体_GBK" w:hAnsi="Times New Roman" w:cs="方正楷体_GBK" w:hint="eastAsia"/>
                <w:kern w:val="0"/>
                <w:sz w:val="22"/>
              </w:rPr>
              <w:t>，得满分；比率＞</w:t>
            </w:r>
            <w:r>
              <w:rPr>
                <w:rFonts w:ascii="Times New Roman" w:eastAsia="方正楷体_GBK" w:hAnsi="Times New Roman" w:cs="方正楷体_GBK" w:hint="eastAsia"/>
                <w:kern w:val="0"/>
                <w:sz w:val="22"/>
              </w:rPr>
              <w:t>100%</w:t>
            </w:r>
            <w:r>
              <w:rPr>
                <w:rFonts w:ascii="Times New Roman" w:eastAsia="方正楷体_GBK" w:hAnsi="Times New Roman" w:cs="方正楷体_GBK" w:hint="eastAsia"/>
                <w:kern w:val="0"/>
                <w:sz w:val="22"/>
              </w:rPr>
              <w:t>，不得分。</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100%</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736" w:type="dxa"/>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1960" w:type="dxa"/>
            <w:tcBorders>
              <w:top w:val="nil"/>
              <w:left w:val="nil"/>
              <w:bottom w:val="single" w:sz="4" w:space="0" w:color="auto"/>
              <w:right w:val="single" w:sz="4" w:space="0" w:color="auto"/>
            </w:tcBorders>
            <w:shd w:val="clear" w:color="000000" w:fill="FFFFFF"/>
            <w:vAlign w:val="center"/>
          </w:tcPr>
          <w:p w:rsidR="001A79DF" w:rsidRDefault="00E70674" w:rsidP="00076D72">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预算安排公用经费</w:t>
            </w:r>
            <w:r w:rsidR="00076D72">
              <w:rPr>
                <w:rFonts w:ascii="Times New Roman" w:eastAsia="方正楷体_GBK" w:hAnsi="Times New Roman" w:cs="方正楷体_GBK" w:hint="eastAsia"/>
                <w:kern w:val="0"/>
                <w:sz w:val="22"/>
              </w:rPr>
              <w:t>667.13</w:t>
            </w:r>
            <w:r>
              <w:rPr>
                <w:rFonts w:ascii="Times New Roman" w:eastAsia="方正楷体_GBK" w:hAnsi="Times New Roman" w:cs="方正楷体_GBK"/>
                <w:kern w:val="0"/>
                <w:sz w:val="22"/>
              </w:rPr>
              <w:t>万元，</w:t>
            </w:r>
            <w:r>
              <w:rPr>
                <w:rFonts w:ascii="Times New Roman" w:eastAsia="方正楷体_GBK" w:hAnsi="Times New Roman" w:cs="方正楷体_GBK" w:hint="eastAsia"/>
                <w:kern w:val="0"/>
                <w:sz w:val="22"/>
              </w:rPr>
              <w:t>实际支出公用经费</w:t>
            </w:r>
            <w:r>
              <w:rPr>
                <w:rFonts w:ascii="Times New Roman" w:eastAsia="方正楷体_GBK" w:hAnsi="Times New Roman" w:cs="方正楷体_GBK"/>
                <w:kern w:val="0"/>
                <w:sz w:val="22"/>
              </w:rPr>
              <w:t>567.3</w:t>
            </w:r>
            <w:r>
              <w:rPr>
                <w:rFonts w:ascii="Times New Roman" w:eastAsia="方正楷体_GBK" w:hAnsi="Times New Roman" w:cs="方正楷体_GBK"/>
                <w:kern w:val="0"/>
                <w:sz w:val="22"/>
              </w:rPr>
              <w:t>万元。</w:t>
            </w:r>
            <w:r>
              <w:rPr>
                <w:rFonts w:ascii="Times New Roman" w:eastAsia="方正楷体_GBK" w:hAnsi="Times New Roman" w:cs="方正楷体_GBK" w:hint="eastAsia"/>
                <w:kern w:val="0"/>
                <w:sz w:val="22"/>
              </w:rPr>
              <w:t>公用经费控制率为</w:t>
            </w:r>
            <w:r>
              <w:rPr>
                <w:rFonts w:ascii="Times New Roman" w:eastAsia="方正楷体_GBK" w:hAnsi="Times New Roman" w:cs="方正楷体_GBK" w:hint="eastAsia"/>
                <w:kern w:val="0"/>
                <w:sz w:val="22"/>
              </w:rPr>
              <w:t>8</w:t>
            </w:r>
            <w:r w:rsidR="00076D72">
              <w:rPr>
                <w:rFonts w:ascii="Times New Roman" w:eastAsia="方正楷体_GBK" w:hAnsi="Times New Roman" w:cs="方正楷体_GBK" w:hint="eastAsia"/>
                <w:kern w:val="0"/>
                <w:sz w:val="22"/>
              </w:rPr>
              <w:t>5.03</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w:t>
            </w:r>
          </w:p>
        </w:tc>
      </w:tr>
      <w:tr w:rsidR="001A79DF">
        <w:trPr>
          <w:trHeight w:val="23"/>
        </w:trPr>
        <w:tc>
          <w:tcPr>
            <w:tcW w:w="263" w:type="pct"/>
            <w:vMerge/>
            <w:tcBorders>
              <w:top w:val="nil"/>
              <w:left w:val="single" w:sz="4" w:space="0" w:color="auto"/>
              <w:bottom w:val="nil"/>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nil"/>
              <w:left w:val="single" w:sz="4" w:space="0" w:color="auto"/>
              <w:bottom w:val="nil"/>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B17</w:t>
            </w:r>
            <w:r>
              <w:rPr>
                <w:rFonts w:ascii="Times New Roman" w:eastAsia="方正楷体_GBK" w:hAnsi="Times New Roman" w:cs="方正楷体_GBK" w:hint="eastAsia"/>
                <w:kern w:val="0"/>
                <w:sz w:val="22"/>
              </w:rPr>
              <w:t>“三公”经费变动率</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部门本年度“三公”经费预算数与上年度“三公”经费预算数的变动比率，用以反映和考核部门对控制重点行政成本的努力程度。</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“三公”经费变动率</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［（本年度“三公”经费总额</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上年度“三公”经费总额）</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上年度“三公”经费总额</w:t>
            </w:r>
            <w:r>
              <w:rPr>
                <w:rFonts w:ascii="Times New Roman" w:eastAsia="方正楷体_GBK" w:hAnsi="Times New Roman" w:cs="方正楷体_GBK" w:hint="eastAsia"/>
                <w:kern w:val="0"/>
                <w:sz w:val="22"/>
              </w:rPr>
              <w:t>]*100%</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“三公”经费：年度预算安排的因公出国（境）费、公务车辆购置及运行费和公务招待费。</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计分规则：</w:t>
            </w:r>
            <w:r>
              <w:rPr>
                <w:rFonts w:ascii="Times New Roman" w:eastAsia="方正楷体_GBK" w:hAnsi="Times New Roman" w:cs="方正楷体_GBK" w:hint="eastAsia"/>
                <w:kern w:val="0"/>
                <w:sz w:val="22"/>
              </w:rPr>
              <w:br/>
              <w:t>1</w:t>
            </w:r>
            <w:r>
              <w:rPr>
                <w:rFonts w:ascii="Times New Roman" w:eastAsia="方正楷体_GBK" w:hAnsi="Times New Roman" w:cs="方正楷体_GBK" w:hint="eastAsia"/>
                <w:kern w:val="0"/>
                <w:sz w:val="22"/>
              </w:rPr>
              <w:t>．比率≤</w:t>
            </w:r>
            <w:r>
              <w:rPr>
                <w:rFonts w:ascii="Times New Roman" w:eastAsia="方正楷体_GBK" w:hAnsi="Times New Roman" w:cs="方正楷体_GBK" w:hint="eastAsia"/>
                <w:kern w:val="0"/>
                <w:sz w:val="22"/>
              </w:rPr>
              <w:t>0%</w:t>
            </w:r>
            <w:r>
              <w:rPr>
                <w:rFonts w:ascii="Times New Roman" w:eastAsia="方正楷体_GBK" w:hAnsi="Times New Roman" w:cs="方正楷体_GBK" w:hint="eastAsia"/>
                <w:kern w:val="0"/>
                <w:sz w:val="22"/>
              </w:rPr>
              <w:t>，得满分；</w:t>
            </w:r>
            <w:r>
              <w:rPr>
                <w:rFonts w:ascii="Times New Roman" w:eastAsia="方正楷体_GBK" w:hAnsi="Times New Roman" w:cs="方正楷体_GBK" w:hint="eastAsia"/>
                <w:kern w:val="0"/>
                <w:sz w:val="22"/>
              </w:rPr>
              <w:br/>
              <w:t>2</w:t>
            </w:r>
            <w:r>
              <w:rPr>
                <w:rFonts w:ascii="Times New Roman" w:eastAsia="方正楷体_GBK" w:hAnsi="Times New Roman" w:cs="方正楷体_GBK" w:hint="eastAsia"/>
                <w:kern w:val="0"/>
                <w:sz w:val="22"/>
              </w:rPr>
              <w:t>．比率＞</w:t>
            </w:r>
            <w:r>
              <w:rPr>
                <w:rFonts w:ascii="Times New Roman" w:eastAsia="方正楷体_GBK" w:hAnsi="Times New Roman" w:cs="方正楷体_GBK" w:hint="eastAsia"/>
                <w:kern w:val="0"/>
                <w:sz w:val="22"/>
              </w:rPr>
              <w:t>0%</w:t>
            </w:r>
            <w:r>
              <w:rPr>
                <w:rFonts w:ascii="Times New Roman" w:eastAsia="方正楷体_GBK" w:hAnsi="Times New Roman" w:cs="方正楷体_GBK" w:hint="eastAsia"/>
                <w:kern w:val="0"/>
                <w:sz w:val="22"/>
              </w:rPr>
              <w:t>，不得分。</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0%</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上</w:t>
            </w:r>
            <w:r>
              <w:rPr>
                <w:rFonts w:ascii="Times New Roman" w:eastAsia="方正楷体_GBK" w:hAnsi="Times New Roman" w:cs="方正楷体_GBK"/>
                <w:kern w:val="0"/>
                <w:sz w:val="22"/>
              </w:rPr>
              <w:t>年</w:t>
            </w:r>
            <w:r>
              <w:rPr>
                <w:rFonts w:ascii="Times New Roman" w:eastAsia="方正楷体_GBK" w:hAnsi="Times New Roman" w:cs="方正楷体_GBK" w:hint="eastAsia"/>
                <w:kern w:val="0"/>
                <w:sz w:val="22"/>
              </w:rPr>
              <w:t>“三公”经费</w:t>
            </w:r>
            <w:r>
              <w:rPr>
                <w:rFonts w:ascii="Times New Roman" w:eastAsia="方正楷体_GBK" w:hAnsi="Times New Roman" w:cs="方正楷体_GBK"/>
                <w:kern w:val="0"/>
                <w:sz w:val="22"/>
              </w:rPr>
              <w:t>75.39</w:t>
            </w:r>
            <w:r>
              <w:rPr>
                <w:rFonts w:ascii="Times New Roman" w:eastAsia="方正楷体_GBK" w:hAnsi="Times New Roman" w:cs="方正楷体_GBK"/>
                <w:kern w:val="0"/>
                <w:sz w:val="22"/>
              </w:rPr>
              <w:t>万元</w:t>
            </w:r>
            <w:r>
              <w:rPr>
                <w:rFonts w:ascii="Times New Roman" w:eastAsia="方正楷体_GBK" w:hAnsi="Times New Roman" w:cs="方正楷体_GBK" w:hint="eastAsia"/>
                <w:kern w:val="0"/>
                <w:sz w:val="22"/>
              </w:rPr>
              <w:t>，本年“三公”经费</w:t>
            </w:r>
            <w:r>
              <w:rPr>
                <w:rFonts w:ascii="Times New Roman" w:eastAsia="方正楷体_GBK" w:hAnsi="Times New Roman" w:cs="方正楷体_GBK"/>
                <w:kern w:val="0"/>
                <w:sz w:val="22"/>
              </w:rPr>
              <w:t>24.78</w:t>
            </w:r>
            <w:r>
              <w:rPr>
                <w:rFonts w:ascii="Times New Roman" w:eastAsia="方正楷体_GBK" w:hAnsi="Times New Roman" w:cs="方正楷体_GBK" w:hint="eastAsia"/>
                <w:kern w:val="0"/>
                <w:sz w:val="22"/>
              </w:rPr>
              <w:t>万元，“三公”经费变动率为</w:t>
            </w:r>
            <w:r>
              <w:rPr>
                <w:rFonts w:ascii="Times New Roman" w:eastAsia="方正楷体_GBK" w:hAnsi="Times New Roman" w:cs="方正楷体_GBK" w:hint="eastAsia"/>
                <w:kern w:val="0"/>
                <w:sz w:val="22"/>
              </w:rPr>
              <w:t>-67.13%</w:t>
            </w:r>
            <w:r>
              <w:rPr>
                <w:rFonts w:ascii="Times New Roman" w:eastAsia="方正楷体_GBK" w:hAnsi="Times New Roman" w:cs="方正楷体_GBK" w:hint="eastAsia"/>
                <w:kern w:val="0"/>
                <w:sz w:val="22"/>
              </w:rPr>
              <w:t>。按照评分标准，得满分。</w:t>
            </w:r>
          </w:p>
        </w:tc>
      </w:tr>
      <w:tr w:rsidR="001A79DF">
        <w:trPr>
          <w:trHeight w:val="23"/>
        </w:trPr>
        <w:tc>
          <w:tcPr>
            <w:tcW w:w="263" w:type="pct"/>
            <w:vMerge/>
            <w:tcBorders>
              <w:top w:val="nil"/>
              <w:left w:val="single" w:sz="4" w:space="0" w:color="auto"/>
              <w:bottom w:val="nil"/>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nil"/>
              <w:left w:val="single" w:sz="4" w:space="0" w:color="auto"/>
              <w:bottom w:val="nil"/>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B18</w:t>
            </w:r>
            <w:r>
              <w:rPr>
                <w:rFonts w:ascii="Times New Roman" w:eastAsia="方正楷体_GBK" w:hAnsi="Times New Roman" w:cs="方正楷体_GBK" w:hint="eastAsia"/>
                <w:kern w:val="0"/>
                <w:sz w:val="22"/>
              </w:rPr>
              <w:t>政府采购政策执行率</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部门本年度实际政府采购金额与年初政府采购预算的比率，用</w:t>
            </w:r>
            <w:r>
              <w:rPr>
                <w:rFonts w:ascii="Times New Roman" w:eastAsia="方正楷体_GBK" w:hAnsi="Times New Roman" w:cs="方正楷体_GBK" w:hint="eastAsia"/>
                <w:kern w:val="0"/>
                <w:sz w:val="22"/>
              </w:rPr>
              <w:lastRenderedPageBreak/>
              <w:t>以反映和考核部门政府采购预算执行情况。</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政府采购执行率</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（实际政府采购金额</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政府采购预算数）</w:t>
            </w:r>
            <w:r>
              <w:rPr>
                <w:rFonts w:ascii="Times New Roman" w:eastAsia="方正楷体_GBK" w:hAnsi="Times New Roman" w:cs="方正楷体_GBK" w:hint="eastAsia"/>
                <w:kern w:val="0"/>
                <w:sz w:val="22"/>
              </w:rPr>
              <w:t>*100%</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政府采购预算：采购机关根据事业发展计划和</w:t>
            </w:r>
            <w:r>
              <w:rPr>
                <w:rFonts w:ascii="Times New Roman" w:eastAsia="方正楷体_GBK" w:hAnsi="Times New Roman" w:cs="方正楷体_GBK" w:hint="eastAsia"/>
                <w:kern w:val="0"/>
                <w:sz w:val="22"/>
              </w:rPr>
              <w:lastRenderedPageBreak/>
              <w:t>行政任务编制的，并经过规定程序批准的年度政府采购计划。</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评分规则：</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得分</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政府采购执行率</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分值。</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100%</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实际政府采购金额</w:t>
            </w:r>
            <w:r>
              <w:rPr>
                <w:rFonts w:ascii="Times New Roman" w:eastAsia="方正楷体_GBK" w:hAnsi="Times New Roman" w:cs="方正楷体_GBK"/>
                <w:kern w:val="0"/>
                <w:sz w:val="22"/>
              </w:rPr>
              <w:t>1100.37</w:t>
            </w:r>
            <w:r>
              <w:rPr>
                <w:rFonts w:ascii="Times New Roman" w:eastAsia="方正楷体_GBK" w:hAnsi="Times New Roman" w:cs="方正楷体_GBK"/>
                <w:kern w:val="0"/>
                <w:sz w:val="22"/>
              </w:rPr>
              <w:t>万元，其中</w:t>
            </w:r>
            <w:r>
              <w:rPr>
                <w:rFonts w:ascii="Times New Roman" w:eastAsia="方正楷体_GBK" w:hAnsi="Times New Roman" w:cs="方正楷体_GBK" w:hint="eastAsia"/>
                <w:kern w:val="0"/>
                <w:sz w:val="22"/>
              </w:rPr>
              <w:t>761.83</w:t>
            </w:r>
            <w:r>
              <w:rPr>
                <w:rFonts w:ascii="Times New Roman" w:eastAsia="方正楷体_GBK" w:hAnsi="Times New Roman" w:cs="方正楷体_GBK" w:hint="eastAsia"/>
                <w:kern w:val="0"/>
                <w:sz w:val="22"/>
              </w:rPr>
              <w:t>为政</w:t>
            </w:r>
            <w:r>
              <w:rPr>
                <w:rFonts w:ascii="Times New Roman" w:eastAsia="方正楷体_GBK" w:hAnsi="Times New Roman" w:cs="方正楷体_GBK" w:hint="eastAsia"/>
                <w:kern w:val="0"/>
                <w:sz w:val="22"/>
              </w:rPr>
              <w:lastRenderedPageBreak/>
              <w:t>府临时交办而产生的调整及上级转移支付金额调整，不计入执行率，政府采购预算数</w:t>
            </w:r>
            <w:r>
              <w:rPr>
                <w:rFonts w:ascii="Times New Roman" w:eastAsia="方正楷体_GBK" w:hAnsi="Times New Roman" w:cs="方正楷体_GBK" w:hint="eastAsia"/>
                <w:kern w:val="0"/>
                <w:sz w:val="22"/>
              </w:rPr>
              <w:t>338.54</w:t>
            </w:r>
            <w:r>
              <w:rPr>
                <w:rFonts w:ascii="Times New Roman" w:eastAsia="方正楷体_GBK" w:hAnsi="Times New Roman" w:cs="方正楷体_GBK" w:hint="eastAsia"/>
                <w:kern w:val="0"/>
                <w:sz w:val="22"/>
              </w:rPr>
              <w:t>万元，执行率为</w:t>
            </w:r>
            <w:r>
              <w:rPr>
                <w:rFonts w:ascii="Times New Roman" w:eastAsia="方正楷体_GBK" w:hAnsi="Times New Roman" w:cs="方正楷体_GBK" w:hint="eastAsia"/>
                <w:kern w:val="0"/>
                <w:sz w:val="22"/>
              </w:rPr>
              <w:t>100%</w:t>
            </w:r>
            <w:r>
              <w:rPr>
                <w:rFonts w:ascii="Times New Roman" w:eastAsia="方正楷体_GBK" w:hAnsi="Times New Roman" w:cs="方正楷体_GBK" w:hint="eastAsia"/>
                <w:kern w:val="0"/>
                <w:sz w:val="22"/>
              </w:rPr>
              <w:t>。</w:t>
            </w:r>
          </w:p>
        </w:tc>
      </w:tr>
      <w:tr w:rsidR="001A79DF">
        <w:trPr>
          <w:trHeight w:val="23"/>
        </w:trPr>
        <w:tc>
          <w:tcPr>
            <w:tcW w:w="263" w:type="pct"/>
            <w:vMerge/>
            <w:tcBorders>
              <w:top w:val="nil"/>
              <w:left w:val="single" w:sz="4" w:space="0" w:color="auto"/>
              <w:bottom w:val="nil"/>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B2</w:t>
            </w:r>
            <w:r>
              <w:rPr>
                <w:rFonts w:ascii="Times New Roman" w:eastAsia="方正楷体_GBK" w:hAnsi="Times New Roman" w:cs="方正楷体_GBK" w:hint="eastAsia"/>
                <w:kern w:val="0"/>
                <w:sz w:val="22"/>
              </w:rPr>
              <w:t>预算管理</w:t>
            </w: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B21</w:t>
            </w:r>
            <w:r>
              <w:rPr>
                <w:rFonts w:ascii="Times New Roman" w:eastAsia="方正楷体_GBK" w:hAnsi="Times New Roman" w:cs="方正楷体_GBK" w:hint="eastAsia"/>
                <w:kern w:val="0"/>
                <w:sz w:val="22"/>
              </w:rPr>
              <w:t>管理制度健全性</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部门为加强预算管理，规范财务行为而制定的管理制度是否健全完整，用以反映和考核部门预算管理</w:t>
            </w:r>
            <w:r>
              <w:rPr>
                <w:rFonts w:ascii="Times New Roman" w:eastAsia="方正楷体_GBK" w:hAnsi="Times New Roman" w:cs="方正楷体_GBK" w:hint="eastAsia"/>
                <w:kern w:val="0"/>
                <w:sz w:val="22"/>
              </w:rPr>
              <w:lastRenderedPageBreak/>
              <w:t>制度对完成主要职责或促进事业发展的保障情况。</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评价要点：</w:t>
            </w:r>
            <w:r>
              <w:rPr>
                <w:rFonts w:ascii="Times New Roman" w:eastAsia="方正楷体_GBK" w:hAnsi="Times New Roman" w:cs="方正楷体_GBK" w:hint="eastAsia"/>
                <w:kern w:val="0"/>
                <w:sz w:val="22"/>
              </w:rPr>
              <w:br/>
              <w:t>1</w:t>
            </w:r>
            <w:r>
              <w:rPr>
                <w:rFonts w:ascii="Times New Roman" w:eastAsia="方正楷体_GBK" w:hAnsi="Times New Roman" w:cs="方正楷体_GBK" w:hint="eastAsia"/>
                <w:kern w:val="0"/>
                <w:sz w:val="22"/>
              </w:rPr>
              <w:t>．是否制定预算资金管理办法，内部财务管理制度，会计核算制度等管理制度（包括收入与支出）；</w:t>
            </w:r>
            <w:r>
              <w:rPr>
                <w:rFonts w:ascii="Times New Roman" w:eastAsia="方正楷体_GBK" w:hAnsi="Times New Roman" w:cs="方正楷体_GBK" w:hint="eastAsia"/>
                <w:kern w:val="0"/>
                <w:sz w:val="22"/>
              </w:rPr>
              <w:br/>
              <w:t>2</w:t>
            </w:r>
            <w:r>
              <w:rPr>
                <w:rFonts w:ascii="Times New Roman" w:eastAsia="方正楷体_GBK" w:hAnsi="Times New Roman" w:cs="方正楷体_GBK" w:hint="eastAsia"/>
                <w:kern w:val="0"/>
                <w:sz w:val="22"/>
              </w:rPr>
              <w:t>．相关资金管理制度（包括收入与支出）是否</w:t>
            </w:r>
            <w:r>
              <w:rPr>
                <w:rFonts w:ascii="Times New Roman" w:eastAsia="方正楷体_GBK" w:hAnsi="Times New Roman" w:cs="方正楷体_GBK" w:hint="eastAsia"/>
                <w:kern w:val="0"/>
                <w:sz w:val="22"/>
              </w:rPr>
              <w:lastRenderedPageBreak/>
              <w:t>合法合</w:t>
            </w:r>
            <w:proofErr w:type="gramStart"/>
            <w:r>
              <w:rPr>
                <w:rFonts w:ascii="Times New Roman" w:eastAsia="方正楷体_GBK" w:hAnsi="Times New Roman" w:cs="方正楷体_GBK" w:hint="eastAsia"/>
                <w:kern w:val="0"/>
                <w:sz w:val="22"/>
              </w:rPr>
              <w:t>规</w:t>
            </w:r>
            <w:proofErr w:type="gramEnd"/>
            <w:r>
              <w:rPr>
                <w:rFonts w:ascii="Times New Roman" w:eastAsia="方正楷体_GBK" w:hAnsi="Times New Roman" w:cs="方正楷体_GBK" w:hint="eastAsia"/>
                <w:kern w:val="0"/>
                <w:sz w:val="22"/>
              </w:rPr>
              <w:t>，内容完整。</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评分规则：</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以上评价要点各占</w:t>
            </w:r>
            <w:r>
              <w:rPr>
                <w:rFonts w:ascii="Times New Roman" w:eastAsia="方正楷体_GBK" w:hAnsi="Times New Roman" w:cs="方正楷体_GBK" w:hint="eastAsia"/>
                <w:kern w:val="0"/>
                <w:sz w:val="22"/>
              </w:rPr>
              <w:t>1/2</w:t>
            </w:r>
            <w:r>
              <w:rPr>
                <w:rFonts w:ascii="Times New Roman" w:eastAsia="方正楷体_GBK" w:hAnsi="Times New Roman" w:cs="方正楷体_GBK" w:hint="eastAsia"/>
                <w:kern w:val="0"/>
                <w:sz w:val="22"/>
              </w:rPr>
              <w:t>权重。每个要点执行情况分好、中、差三档，按</w:t>
            </w:r>
            <w:r>
              <w:rPr>
                <w:rFonts w:ascii="Times New Roman" w:eastAsia="方正楷体_GBK" w:hAnsi="Times New Roman" w:cs="方正楷体_GBK" w:hint="eastAsia"/>
                <w:kern w:val="0"/>
                <w:sz w:val="22"/>
              </w:rPr>
              <w:t>100%-80%</w:t>
            </w:r>
            <w:r>
              <w:rPr>
                <w:rFonts w:ascii="Times New Roman" w:eastAsia="方正楷体_GBK" w:hAnsi="Times New Roman" w:cs="方正楷体_GBK" w:hint="eastAsia"/>
                <w:kern w:val="0"/>
                <w:sz w:val="22"/>
              </w:rPr>
              <w:t>（含）、</w:t>
            </w:r>
            <w:r>
              <w:rPr>
                <w:rFonts w:ascii="Times New Roman" w:eastAsia="方正楷体_GBK" w:hAnsi="Times New Roman" w:cs="方正楷体_GBK" w:hint="eastAsia"/>
                <w:kern w:val="0"/>
                <w:sz w:val="22"/>
              </w:rPr>
              <w:t>80%-60%</w:t>
            </w:r>
            <w:r>
              <w:rPr>
                <w:rFonts w:ascii="Times New Roman" w:eastAsia="方正楷体_GBK" w:hAnsi="Times New Roman" w:cs="方正楷体_GBK" w:hint="eastAsia"/>
                <w:kern w:val="0"/>
                <w:sz w:val="22"/>
              </w:rPr>
              <w:t>（含）、</w:t>
            </w:r>
            <w:r>
              <w:rPr>
                <w:rFonts w:ascii="Times New Roman" w:eastAsia="方正楷体_GBK" w:hAnsi="Times New Roman" w:cs="方正楷体_GBK" w:hint="eastAsia"/>
                <w:kern w:val="0"/>
                <w:sz w:val="22"/>
              </w:rPr>
              <w:t>60%-0%</w:t>
            </w:r>
            <w:r>
              <w:rPr>
                <w:rFonts w:ascii="Times New Roman" w:eastAsia="方正楷体_GBK" w:hAnsi="Times New Roman" w:cs="方正楷体_GBK" w:hint="eastAsia"/>
                <w:kern w:val="0"/>
                <w:sz w:val="22"/>
              </w:rPr>
              <w:t>评分。</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健全</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部门内控管理制度规范健全。</w:t>
            </w:r>
          </w:p>
        </w:tc>
      </w:tr>
      <w:tr w:rsidR="001A79DF">
        <w:trPr>
          <w:trHeight w:val="23"/>
        </w:trPr>
        <w:tc>
          <w:tcPr>
            <w:tcW w:w="263" w:type="pct"/>
            <w:vMerge/>
            <w:tcBorders>
              <w:top w:val="nil"/>
              <w:left w:val="single" w:sz="4" w:space="0" w:color="auto"/>
              <w:bottom w:val="nil"/>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single" w:sz="4" w:space="0" w:color="auto"/>
              <w:left w:val="single" w:sz="4" w:space="0" w:color="auto"/>
              <w:bottom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B22</w:t>
            </w:r>
            <w:r>
              <w:rPr>
                <w:rFonts w:ascii="Times New Roman" w:eastAsia="方正楷体_GBK" w:hAnsi="Times New Roman" w:cs="方正楷体_GBK" w:hint="eastAsia"/>
                <w:kern w:val="0"/>
                <w:sz w:val="22"/>
              </w:rPr>
              <w:t>资金管理使用合</w:t>
            </w:r>
            <w:proofErr w:type="gramStart"/>
            <w:r>
              <w:rPr>
                <w:rFonts w:ascii="Times New Roman" w:eastAsia="方正楷体_GBK" w:hAnsi="Times New Roman" w:cs="方正楷体_GBK" w:hint="eastAsia"/>
                <w:kern w:val="0"/>
                <w:sz w:val="22"/>
              </w:rPr>
              <w:t>规</w:t>
            </w:r>
            <w:proofErr w:type="gramEnd"/>
            <w:r>
              <w:rPr>
                <w:rFonts w:ascii="Times New Roman" w:eastAsia="方正楷体_GBK" w:hAnsi="Times New Roman" w:cs="方正楷体_GBK" w:hint="eastAsia"/>
                <w:kern w:val="0"/>
                <w:sz w:val="22"/>
              </w:rPr>
              <w:t>性</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部门使用预算资金是否符合相关的预算财务管理制度的规定，用以反映和考核部门预算资金的规范运行情况。</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r>
              <w:rPr>
                <w:rFonts w:ascii="Times New Roman" w:eastAsia="方正楷体_GBK" w:hAnsi="Times New Roman" w:cs="方正楷体_GBK" w:hint="eastAsia"/>
                <w:kern w:val="0"/>
                <w:sz w:val="22"/>
              </w:rPr>
              <w:br/>
              <w:t>1</w:t>
            </w:r>
            <w:r>
              <w:rPr>
                <w:rFonts w:ascii="Times New Roman" w:eastAsia="方正楷体_GBK" w:hAnsi="Times New Roman" w:cs="方正楷体_GBK" w:hint="eastAsia"/>
                <w:kern w:val="0"/>
                <w:sz w:val="22"/>
              </w:rPr>
              <w:t>．资金管理使用（包括收入与支出）是否符合国家财经法规和相关管理制度的规定，是否存在截留、挤占、挪用和虚列支出等非专款专用的情况；</w:t>
            </w:r>
            <w:r>
              <w:rPr>
                <w:rFonts w:ascii="Times New Roman" w:eastAsia="方正楷体_GBK" w:hAnsi="Times New Roman" w:cs="方正楷体_GBK" w:hint="eastAsia"/>
                <w:kern w:val="0"/>
                <w:sz w:val="22"/>
              </w:rPr>
              <w:br/>
              <w:t>2</w:t>
            </w:r>
            <w:r>
              <w:rPr>
                <w:rFonts w:ascii="Times New Roman" w:eastAsia="方正楷体_GBK" w:hAnsi="Times New Roman" w:cs="方正楷体_GBK" w:hint="eastAsia"/>
                <w:kern w:val="0"/>
                <w:sz w:val="22"/>
              </w:rPr>
              <w:t>．资金的收缴和支付是否有完整的程序和手续；</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lastRenderedPageBreak/>
              <w:t>3</w:t>
            </w:r>
            <w:r>
              <w:rPr>
                <w:rFonts w:ascii="Times New Roman" w:eastAsia="方正楷体_GBK" w:hAnsi="Times New Roman" w:cs="方正楷体_GBK" w:hint="eastAsia"/>
                <w:kern w:val="0"/>
                <w:sz w:val="22"/>
              </w:rPr>
              <w:t>．公用经费是否存在超标准支出情况，项目支出与公用经费是否存在重复交叉。</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评分规则：以上评价要点各占</w:t>
            </w:r>
            <w:r>
              <w:rPr>
                <w:rFonts w:ascii="Times New Roman" w:eastAsia="方正楷体_GBK" w:hAnsi="Times New Roman" w:cs="方正楷体_GBK" w:hint="eastAsia"/>
                <w:kern w:val="0"/>
                <w:sz w:val="22"/>
              </w:rPr>
              <w:t>1/3</w:t>
            </w:r>
            <w:r>
              <w:rPr>
                <w:rFonts w:ascii="Times New Roman" w:eastAsia="方正楷体_GBK" w:hAnsi="Times New Roman" w:cs="方正楷体_GBK" w:hint="eastAsia"/>
                <w:kern w:val="0"/>
                <w:sz w:val="22"/>
              </w:rPr>
              <w:t>权重，每个要点执行情况分好、中、差三档，按</w:t>
            </w:r>
            <w:r>
              <w:rPr>
                <w:rFonts w:ascii="Times New Roman" w:eastAsia="方正楷体_GBK" w:hAnsi="Times New Roman" w:cs="方正楷体_GBK" w:hint="eastAsia"/>
                <w:kern w:val="0"/>
                <w:sz w:val="22"/>
              </w:rPr>
              <w:t>100%-80</w:t>
            </w:r>
            <w:r>
              <w:rPr>
                <w:rFonts w:ascii="Times New Roman" w:eastAsia="方正楷体_GBK" w:hAnsi="Times New Roman" w:cs="方正楷体_GBK" w:hint="eastAsia"/>
                <w:kern w:val="0"/>
                <w:sz w:val="22"/>
              </w:rPr>
              <w:t>％（含）、</w:t>
            </w:r>
            <w:r>
              <w:rPr>
                <w:rFonts w:ascii="Times New Roman" w:eastAsia="方正楷体_GBK" w:hAnsi="Times New Roman" w:cs="方正楷体_GBK" w:hint="eastAsia"/>
                <w:kern w:val="0"/>
                <w:sz w:val="22"/>
              </w:rPr>
              <w:t>80</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-60%</w:t>
            </w:r>
            <w:r>
              <w:rPr>
                <w:rFonts w:ascii="Times New Roman" w:eastAsia="方正楷体_GBK" w:hAnsi="Times New Roman" w:cs="方正楷体_GBK" w:hint="eastAsia"/>
                <w:kern w:val="0"/>
                <w:sz w:val="22"/>
              </w:rPr>
              <w:t>（含）、</w:t>
            </w:r>
            <w:r>
              <w:rPr>
                <w:rFonts w:ascii="Times New Roman" w:eastAsia="方正楷体_GBK" w:hAnsi="Times New Roman" w:cs="方正楷体_GBK" w:hint="eastAsia"/>
                <w:kern w:val="0"/>
                <w:sz w:val="22"/>
              </w:rPr>
              <w:t>60%-0%</w:t>
            </w:r>
            <w:r>
              <w:rPr>
                <w:rFonts w:ascii="Times New Roman" w:eastAsia="方正楷体_GBK" w:hAnsi="Times New Roman" w:cs="方正楷体_GBK" w:hint="eastAsia"/>
                <w:kern w:val="0"/>
                <w:sz w:val="22"/>
              </w:rPr>
              <w:t>评分。</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100%</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部门使用预算资金符合相关财务管理制度规定。</w:t>
            </w:r>
          </w:p>
        </w:tc>
      </w:tr>
      <w:tr w:rsidR="001A79DF">
        <w:trPr>
          <w:trHeight w:val="23"/>
        </w:trPr>
        <w:tc>
          <w:tcPr>
            <w:tcW w:w="263" w:type="pct"/>
            <w:vMerge/>
            <w:tcBorders>
              <w:top w:val="nil"/>
              <w:left w:val="single" w:sz="4" w:space="0" w:color="auto"/>
              <w:bottom w:val="nil"/>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single" w:sz="4" w:space="0" w:color="auto"/>
              <w:left w:val="single" w:sz="4" w:space="0" w:color="auto"/>
              <w:bottom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B23</w:t>
            </w:r>
            <w:r>
              <w:rPr>
                <w:rFonts w:ascii="Times New Roman" w:eastAsia="方正楷体_GBK" w:hAnsi="Times New Roman" w:cs="方正楷体_GBK" w:hint="eastAsia"/>
                <w:kern w:val="0"/>
                <w:sz w:val="22"/>
              </w:rPr>
              <w:t>预决算信息公开度</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部门是否按照政府信息公开有关规定公开相关预决算信息，用以反映和考核部门预决算管理的公开透明情况。</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r>
              <w:rPr>
                <w:rFonts w:ascii="Times New Roman" w:eastAsia="方正楷体_GBK" w:hAnsi="Times New Roman" w:cs="方正楷体_GBK" w:hint="eastAsia"/>
                <w:kern w:val="0"/>
                <w:sz w:val="22"/>
              </w:rPr>
              <w:br/>
              <w:t>1</w:t>
            </w:r>
            <w:r>
              <w:rPr>
                <w:rFonts w:ascii="Times New Roman" w:eastAsia="方正楷体_GBK" w:hAnsi="Times New Roman" w:cs="方正楷体_GBK" w:hint="eastAsia"/>
                <w:kern w:val="0"/>
                <w:sz w:val="22"/>
              </w:rPr>
              <w:t>．是否按规定内容公开预决算信息；</w:t>
            </w:r>
            <w:r>
              <w:rPr>
                <w:rFonts w:ascii="Times New Roman" w:eastAsia="方正楷体_GBK" w:hAnsi="Times New Roman" w:cs="方正楷体_GBK" w:hint="eastAsia"/>
                <w:kern w:val="0"/>
                <w:sz w:val="22"/>
              </w:rPr>
              <w:br/>
              <w:t>2</w:t>
            </w:r>
            <w:r>
              <w:rPr>
                <w:rFonts w:ascii="Times New Roman" w:eastAsia="方正楷体_GBK" w:hAnsi="Times New Roman" w:cs="方正楷体_GBK" w:hint="eastAsia"/>
                <w:kern w:val="0"/>
                <w:sz w:val="22"/>
              </w:rPr>
              <w:t>．是否按规定时限公开预决算信息预决算信息是指与部门预算、执行、决算、监督、绩效等管理相关的信息。</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评分规则：</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以上评价要点各占</w:t>
            </w:r>
            <w:r>
              <w:rPr>
                <w:rFonts w:ascii="Times New Roman" w:eastAsia="方正楷体_GBK" w:hAnsi="Times New Roman" w:cs="方正楷体_GBK" w:hint="eastAsia"/>
                <w:kern w:val="0"/>
                <w:sz w:val="22"/>
              </w:rPr>
              <w:t>1/2</w:t>
            </w:r>
            <w:r>
              <w:rPr>
                <w:rFonts w:ascii="Times New Roman" w:eastAsia="方正楷体_GBK" w:hAnsi="Times New Roman" w:cs="方正楷体_GBK" w:hint="eastAsia"/>
                <w:kern w:val="0"/>
                <w:sz w:val="22"/>
              </w:rPr>
              <w:t>权重，每个要点执行情</w:t>
            </w:r>
            <w:r>
              <w:rPr>
                <w:rFonts w:ascii="Times New Roman" w:eastAsia="方正楷体_GBK" w:hAnsi="Times New Roman" w:cs="方正楷体_GBK" w:hint="eastAsia"/>
                <w:kern w:val="0"/>
                <w:sz w:val="22"/>
              </w:rPr>
              <w:lastRenderedPageBreak/>
              <w:t>况分好、中、差三档，按</w:t>
            </w:r>
            <w:r>
              <w:rPr>
                <w:rFonts w:ascii="Times New Roman" w:eastAsia="方正楷体_GBK" w:hAnsi="Times New Roman" w:cs="方正楷体_GBK" w:hint="eastAsia"/>
                <w:kern w:val="0"/>
                <w:sz w:val="22"/>
              </w:rPr>
              <w:t>100%-80%</w:t>
            </w:r>
            <w:r>
              <w:rPr>
                <w:rFonts w:ascii="Times New Roman" w:eastAsia="方正楷体_GBK" w:hAnsi="Times New Roman" w:cs="方正楷体_GBK" w:hint="eastAsia"/>
                <w:kern w:val="0"/>
                <w:sz w:val="22"/>
              </w:rPr>
              <w:t>（含）、</w:t>
            </w:r>
            <w:r>
              <w:rPr>
                <w:rFonts w:ascii="Times New Roman" w:eastAsia="方正楷体_GBK" w:hAnsi="Times New Roman" w:cs="方正楷体_GBK" w:hint="eastAsia"/>
                <w:kern w:val="0"/>
                <w:sz w:val="22"/>
              </w:rPr>
              <w:t>80%-60%</w:t>
            </w:r>
            <w:r>
              <w:rPr>
                <w:rFonts w:ascii="Times New Roman" w:eastAsia="方正楷体_GBK" w:hAnsi="Times New Roman" w:cs="方正楷体_GBK" w:hint="eastAsia"/>
                <w:kern w:val="0"/>
                <w:sz w:val="22"/>
              </w:rPr>
              <w:t>（含）、</w:t>
            </w:r>
            <w:r>
              <w:rPr>
                <w:rFonts w:ascii="Times New Roman" w:eastAsia="方正楷体_GBK" w:hAnsi="Times New Roman" w:cs="方正楷体_GBK" w:hint="eastAsia"/>
                <w:kern w:val="0"/>
                <w:sz w:val="22"/>
              </w:rPr>
              <w:t>60%-0%</w:t>
            </w:r>
            <w:r>
              <w:rPr>
                <w:rFonts w:ascii="Times New Roman" w:eastAsia="方正楷体_GBK" w:hAnsi="Times New Roman" w:cs="方正楷体_GBK" w:hint="eastAsia"/>
                <w:kern w:val="0"/>
                <w:sz w:val="22"/>
              </w:rPr>
              <w:t>评分。</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公开</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部门按照政府信息公开规定，按时公开相关预决算信息。</w:t>
            </w:r>
          </w:p>
        </w:tc>
      </w:tr>
      <w:tr w:rsidR="001A79DF">
        <w:trPr>
          <w:trHeight w:val="23"/>
        </w:trPr>
        <w:tc>
          <w:tcPr>
            <w:tcW w:w="263" w:type="pct"/>
            <w:vMerge/>
            <w:tcBorders>
              <w:top w:val="nil"/>
              <w:left w:val="single" w:sz="4" w:space="0" w:color="auto"/>
              <w:bottom w:val="nil"/>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single" w:sz="4" w:space="0" w:color="auto"/>
              <w:left w:val="single" w:sz="4" w:space="0" w:color="auto"/>
              <w:bottom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B24</w:t>
            </w:r>
            <w:r>
              <w:rPr>
                <w:rFonts w:ascii="Times New Roman" w:eastAsia="方正楷体_GBK" w:hAnsi="Times New Roman" w:cs="方正楷体_GBK" w:hint="eastAsia"/>
                <w:kern w:val="0"/>
                <w:sz w:val="22"/>
              </w:rPr>
              <w:t>基础信息完善性</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部门基础信息是否完善，用以反映和考核基础信息对预算管理工作的支撑情况。</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r>
              <w:rPr>
                <w:rFonts w:ascii="Times New Roman" w:eastAsia="方正楷体_GBK" w:hAnsi="Times New Roman" w:cs="方正楷体_GBK" w:hint="eastAsia"/>
                <w:kern w:val="0"/>
                <w:sz w:val="22"/>
              </w:rPr>
              <w:br/>
              <w:t>1</w:t>
            </w:r>
            <w:r>
              <w:rPr>
                <w:rFonts w:ascii="Times New Roman" w:eastAsia="方正楷体_GBK" w:hAnsi="Times New Roman" w:cs="方正楷体_GBK" w:hint="eastAsia"/>
                <w:kern w:val="0"/>
                <w:sz w:val="22"/>
              </w:rPr>
              <w:t>．基础数据信息和会计信息资料是否真实准确；</w:t>
            </w:r>
            <w:r>
              <w:rPr>
                <w:rFonts w:ascii="Times New Roman" w:eastAsia="方正楷体_GBK" w:hAnsi="Times New Roman" w:cs="方正楷体_GBK" w:hint="eastAsia"/>
                <w:kern w:val="0"/>
                <w:sz w:val="22"/>
              </w:rPr>
              <w:br/>
              <w:t>2</w:t>
            </w:r>
            <w:r>
              <w:rPr>
                <w:rFonts w:ascii="Times New Roman" w:eastAsia="方正楷体_GBK" w:hAnsi="Times New Roman" w:cs="方正楷体_GBK" w:hint="eastAsia"/>
                <w:kern w:val="0"/>
                <w:sz w:val="22"/>
              </w:rPr>
              <w:t>．基础数据信息和会计信息资料是否完整。</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评分规则：</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以上评价要点各占</w:t>
            </w:r>
            <w:r>
              <w:rPr>
                <w:rFonts w:ascii="Times New Roman" w:eastAsia="方正楷体_GBK" w:hAnsi="Times New Roman" w:cs="方正楷体_GBK" w:hint="eastAsia"/>
                <w:kern w:val="0"/>
                <w:sz w:val="22"/>
              </w:rPr>
              <w:t>1/2</w:t>
            </w:r>
            <w:r>
              <w:rPr>
                <w:rFonts w:ascii="Times New Roman" w:eastAsia="方正楷体_GBK" w:hAnsi="Times New Roman" w:cs="方正楷体_GBK" w:hint="eastAsia"/>
                <w:kern w:val="0"/>
                <w:sz w:val="22"/>
              </w:rPr>
              <w:t>权重，每个要点执行情况分好、中、差三档，按</w:t>
            </w:r>
            <w:r>
              <w:rPr>
                <w:rFonts w:ascii="Times New Roman" w:eastAsia="方正楷体_GBK" w:hAnsi="Times New Roman" w:cs="方正楷体_GBK" w:hint="eastAsia"/>
                <w:kern w:val="0"/>
                <w:sz w:val="22"/>
              </w:rPr>
              <w:t>100</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-80%</w:t>
            </w:r>
            <w:r>
              <w:rPr>
                <w:rFonts w:ascii="Times New Roman" w:eastAsia="方正楷体_GBK" w:hAnsi="Times New Roman" w:cs="方正楷体_GBK" w:hint="eastAsia"/>
                <w:kern w:val="0"/>
                <w:sz w:val="22"/>
              </w:rPr>
              <w:t>（含）、</w:t>
            </w:r>
            <w:r>
              <w:rPr>
                <w:rFonts w:ascii="Times New Roman" w:eastAsia="方正楷体_GBK" w:hAnsi="Times New Roman" w:cs="方正楷体_GBK" w:hint="eastAsia"/>
                <w:kern w:val="0"/>
                <w:sz w:val="22"/>
              </w:rPr>
              <w:t>80%-60%</w:t>
            </w:r>
            <w:r>
              <w:rPr>
                <w:rFonts w:ascii="Times New Roman" w:eastAsia="方正楷体_GBK" w:hAnsi="Times New Roman" w:cs="方正楷体_GBK" w:hint="eastAsia"/>
                <w:kern w:val="0"/>
                <w:sz w:val="22"/>
              </w:rPr>
              <w:t>（含）、</w:t>
            </w:r>
            <w:r>
              <w:rPr>
                <w:rFonts w:ascii="Times New Roman" w:eastAsia="方正楷体_GBK" w:hAnsi="Times New Roman" w:cs="方正楷体_GBK" w:hint="eastAsia"/>
                <w:kern w:val="0"/>
                <w:sz w:val="22"/>
              </w:rPr>
              <w:t>60%-0%</w:t>
            </w:r>
            <w:r>
              <w:rPr>
                <w:rFonts w:ascii="Times New Roman" w:eastAsia="方正楷体_GBK" w:hAnsi="Times New Roman" w:cs="方正楷体_GBK" w:hint="eastAsia"/>
                <w:kern w:val="0"/>
                <w:sz w:val="22"/>
              </w:rPr>
              <w:t>评分。</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完善</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部门基础数据信息和会计信息资料准确、完整。</w:t>
            </w:r>
          </w:p>
        </w:tc>
      </w:tr>
      <w:tr w:rsidR="001A79DF">
        <w:trPr>
          <w:trHeight w:val="23"/>
        </w:trPr>
        <w:tc>
          <w:tcPr>
            <w:tcW w:w="263" w:type="pct"/>
            <w:vMerge/>
            <w:tcBorders>
              <w:top w:val="nil"/>
              <w:left w:val="single" w:sz="4" w:space="0" w:color="auto"/>
              <w:bottom w:val="nil"/>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single" w:sz="4" w:space="0" w:color="auto"/>
              <w:left w:val="single" w:sz="4" w:space="0" w:color="auto"/>
              <w:bottom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B25</w:t>
            </w:r>
            <w:r>
              <w:rPr>
                <w:rFonts w:ascii="Times New Roman" w:eastAsia="方正楷体_GBK" w:hAnsi="Times New Roman" w:cs="方正楷体_GBK" w:hint="eastAsia"/>
                <w:kern w:val="0"/>
                <w:sz w:val="22"/>
              </w:rPr>
              <w:t>绩效管理覆盖率</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部门是否将所有支出纳入预算绩效管理，</w:t>
            </w:r>
            <w:r>
              <w:rPr>
                <w:rFonts w:ascii="Times New Roman" w:eastAsia="方正楷体_GBK" w:hAnsi="Times New Roman" w:cs="方正楷体_GBK" w:hint="eastAsia"/>
                <w:kern w:val="0"/>
                <w:sz w:val="22"/>
              </w:rPr>
              <w:lastRenderedPageBreak/>
              <w:t>用以反映和考核部门全面实施预算绩效管理工作情况。</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绩效管理覆盖率</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（纳入全过程绩效管理的资金</w:t>
            </w:r>
            <w:r>
              <w:rPr>
                <w:rFonts w:ascii="Times New Roman" w:eastAsia="方正楷体_GBK" w:hAnsi="Times New Roman" w:cs="方正楷体_GBK" w:hint="eastAsia"/>
                <w:kern w:val="0"/>
                <w:sz w:val="22"/>
              </w:rPr>
              <w:lastRenderedPageBreak/>
              <w:t>数</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预算数）</w:t>
            </w:r>
            <w:r>
              <w:rPr>
                <w:rFonts w:ascii="Times New Roman" w:eastAsia="方正楷体_GBK" w:hAnsi="Times New Roman" w:cs="方正楷体_GBK" w:hint="eastAsia"/>
                <w:kern w:val="0"/>
                <w:sz w:val="22"/>
              </w:rPr>
              <w:t>*l00%</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评价规则：</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得分</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绩效管理覆盖率</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分值。</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100%</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部门已将所有支出纳入预算绩效</w:t>
            </w:r>
            <w:r>
              <w:rPr>
                <w:rFonts w:ascii="Times New Roman" w:eastAsia="方正楷体_GBK" w:hAnsi="Times New Roman" w:cs="方正楷体_GBK" w:hint="eastAsia"/>
                <w:kern w:val="0"/>
                <w:sz w:val="22"/>
              </w:rPr>
              <w:lastRenderedPageBreak/>
              <w:t>管理。</w:t>
            </w:r>
          </w:p>
        </w:tc>
      </w:tr>
      <w:tr w:rsidR="001A79DF">
        <w:trPr>
          <w:trHeight w:val="23"/>
        </w:trPr>
        <w:tc>
          <w:tcPr>
            <w:tcW w:w="263" w:type="pct"/>
            <w:vMerge/>
            <w:tcBorders>
              <w:top w:val="nil"/>
              <w:left w:val="single" w:sz="4" w:space="0" w:color="auto"/>
              <w:bottom w:val="nil"/>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val="restart"/>
            <w:tcBorders>
              <w:top w:val="nil"/>
              <w:left w:val="single" w:sz="4" w:space="0" w:color="auto"/>
              <w:bottom w:val="single" w:sz="4" w:space="0" w:color="000000"/>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B3</w:t>
            </w:r>
            <w:r>
              <w:rPr>
                <w:rFonts w:ascii="Times New Roman" w:eastAsia="方正楷体_GBK" w:hAnsi="Times New Roman" w:cs="方正楷体_GBK" w:hint="eastAsia"/>
                <w:kern w:val="0"/>
                <w:sz w:val="22"/>
              </w:rPr>
              <w:t>资产管理</w:t>
            </w: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B31</w:t>
            </w:r>
            <w:r>
              <w:rPr>
                <w:rFonts w:ascii="Times New Roman" w:eastAsia="方正楷体_GBK" w:hAnsi="Times New Roman" w:cs="方正楷体_GBK" w:hint="eastAsia"/>
                <w:kern w:val="0"/>
                <w:sz w:val="22"/>
              </w:rPr>
              <w:t>资产管理制度健全性</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部门为加强资产管理，规范资产管理行为而制定的管理制度是否健全完整。用以反映和考核部门资产管理制度对完成主要职责或促进社会发展的保障情况。</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r>
              <w:rPr>
                <w:rFonts w:ascii="Times New Roman" w:eastAsia="方正楷体_GBK" w:hAnsi="Times New Roman" w:cs="方正楷体_GBK" w:hint="eastAsia"/>
                <w:kern w:val="0"/>
                <w:sz w:val="22"/>
              </w:rPr>
              <w:br/>
              <w:t>1</w:t>
            </w:r>
            <w:r>
              <w:rPr>
                <w:rFonts w:ascii="Times New Roman" w:eastAsia="方正楷体_GBK" w:hAnsi="Times New Roman" w:cs="方正楷体_GBK" w:hint="eastAsia"/>
                <w:kern w:val="0"/>
                <w:sz w:val="22"/>
              </w:rPr>
              <w:t>．是否已制定或具有资产管理制度；</w:t>
            </w:r>
            <w:r>
              <w:rPr>
                <w:rFonts w:ascii="Times New Roman" w:eastAsia="方正楷体_GBK" w:hAnsi="Times New Roman" w:cs="方正楷体_GBK" w:hint="eastAsia"/>
                <w:kern w:val="0"/>
                <w:sz w:val="22"/>
              </w:rPr>
              <w:br/>
              <w:t>2</w:t>
            </w:r>
            <w:r>
              <w:rPr>
                <w:rFonts w:ascii="Times New Roman" w:eastAsia="方正楷体_GBK" w:hAnsi="Times New Roman" w:cs="方正楷体_GBK" w:hint="eastAsia"/>
                <w:kern w:val="0"/>
                <w:sz w:val="22"/>
              </w:rPr>
              <w:t>．相关资产管理制度是否合法、合</w:t>
            </w:r>
            <w:proofErr w:type="gramStart"/>
            <w:r>
              <w:rPr>
                <w:rFonts w:ascii="Times New Roman" w:eastAsia="方正楷体_GBK" w:hAnsi="Times New Roman" w:cs="方正楷体_GBK" w:hint="eastAsia"/>
                <w:kern w:val="0"/>
                <w:sz w:val="22"/>
              </w:rPr>
              <w:t>规</w:t>
            </w:r>
            <w:proofErr w:type="gramEnd"/>
            <w:r>
              <w:rPr>
                <w:rFonts w:ascii="Times New Roman" w:eastAsia="方正楷体_GBK" w:hAnsi="Times New Roman" w:cs="方正楷体_GBK" w:hint="eastAsia"/>
                <w:kern w:val="0"/>
                <w:sz w:val="22"/>
              </w:rPr>
              <w:t>、完整；</w:t>
            </w:r>
            <w:r>
              <w:rPr>
                <w:rFonts w:ascii="Times New Roman" w:eastAsia="方正楷体_GBK" w:hAnsi="Times New Roman" w:cs="方正楷体_GBK" w:hint="eastAsia"/>
                <w:kern w:val="0"/>
                <w:sz w:val="22"/>
              </w:rPr>
              <w:br/>
              <w:t>3</w:t>
            </w:r>
            <w:r>
              <w:rPr>
                <w:rFonts w:ascii="Times New Roman" w:eastAsia="方正楷体_GBK" w:hAnsi="Times New Roman" w:cs="方正楷体_GBK" w:hint="eastAsia"/>
                <w:kern w:val="0"/>
                <w:sz w:val="22"/>
              </w:rPr>
              <w:t>．相关资产管理制度是否得到有效执行。</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评分规则：</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以上评价要点各占</w:t>
            </w:r>
            <w:r>
              <w:rPr>
                <w:rFonts w:ascii="Times New Roman" w:eastAsia="方正楷体_GBK" w:hAnsi="Times New Roman" w:cs="方正楷体_GBK" w:hint="eastAsia"/>
                <w:kern w:val="0"/>
                <w:sz w:val="22"/>
              </w:rPr>
              <w:t>1/3</w:t>
            </w:r>
            <w:r>
              <w:rPr>
                <w:rFonts w:ascii="Times New Roman" w:eastAsia="方正楷体_GBK" w:hAnsi="Times New Roman" w:cs="方正楷体_GBK" w:hint="eastAsia"/>
                <w:kern w:val="0"/>
                <w:sz w:val="22"/>
              </w:rPr>
              <w:t>权重，每个要点执行情况分好、中、差三档，按</w:t>
            </w:r>
            <w:r>
              <w:rPr>
                <w:rFonts w:ascii="Times New Roman" w:eastAsia="方正楷体_GBK" w:hAnsi="Times New Roman" w:cs="方正楷体_GBK" w:hint="eastAsia"/>
                <w:kern w:val="0"/>
                <w:sz w:val="22"/>
              </w:rPr>
              <w:t>100%-80%</w:t>
            </w:r>
            <w:r>
              <w:rPr>
                <w:rFonts w:ascii="Times New Roman" w:eastAsia="方正楷体_GBK" w:hAnsi="Times New Roman" w:cs="方正楷体_GBK" w:hint="eastAsia"/>
                <w:kern w:val="0"/>
                <w:sz w:val="22"/>
              </w:rPr>
              <w:t>（含）、</w:t>
            </w:r>
            <w:r>
              <w:rPr>
                <w:rFonts w:ascii="Times New Roman" w:eastAsia="方正楷体_GBK" w:hAnsi="Times New Roman" w:cs="方正楷体_GBK" w:hint="eastAsia"/>
                <w:kern w:val="0"/>
                <w:sz w:val="22"/>
              </w:rPr>
              <w:t>80%-60%</w:t>
            </w:r>
            <w:r>
              <w:rPr>
                <w:rFonts w:ascii="Times New Roman" w:eastAsia="方正楷体_GBK" w:hAnsi="Times New Roman" w:cs="方正楷体_GBK" w:hint="eastAsia"/>
                <w:kern w:val="0"/>
                <w:sz w:val="22"/>
              </w:rPr>
              <w:t>（含）、</w:t>
            </w:r>
            <w:r>
              <w:rPr>
                <w:rFonts w:ascii="Times New Roman" w:eastAsia="方正楷体_GBK" w:hAnsi="Times New Roman" w:cs="方正楷体_GBK" w:hint="eastAsia"/>
                <w:kern w:val="0"/>
                <w:sz w:val="22"/>
              </w:rPr>
              <w:t>60%-0%</w:t>
            </w:r>
            <w:r>
              <w:rPr>
                <w:rFonts w:ascii="Times New Roman" w:eastAsia="方正楷体_GBK" w:hAnsi="Times New Roman" w:cs="方正楷体_GBK" w:hint="eastAsia"/>
                <w:kern w:val="0"/>
                <w:sz w:val="22"/>
              </w:rPr>
              <w:t>评分。</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健全</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部门资产管理制度健全。</w:t>
            </w:r>
          </w:p>
        </w:tc>
      </w:tr>
      <w:tr w:rsidR="001A79DF">
        <w:trPr>
          <w:trHeight w:val="23"/>
        </w:trPr>
        <w:tc>
          <w:tcPr>
            <w:tcW w:w="263" w:type="pct"/>
            <w:vMerge/>
            <w:tcBorders>
              <w:top w:val="nil"/>
              <w:left w:val="single" w:sz="4" w:space="0" w:color="auto"/>
              <w:bottom w:val="nil"/>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nil"/>
              <w:left w:val="single" w:sz="4" w:space="0" w:color="auto"/>
              <w:bottom w:val="single" w:sz="4" w:space="0" w:color="000000"/>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B32</w:t>
            </w:r>
            <w:r>
              <w:rPr>
                <w:rFonts w:ascii="Times New Roman" w:eastAsia="方正楷体_GBK" w:hAnsi="Times New Roman" w:cs="方正楷体_GBK" w:hint="eastAsia"/>
                <w:kern w:val="0"/>
                <w:sz w:val="22"/>
              </w:rPr>
              <w:t>资产管</w:t>
            </w:r>
            <w:r>
              <w:rPr>
                <w:rFonts w:ascii="Times New Roman" w:eastAsia="方正楷体_GBK" w:hAnsi="Times New Roman" w:cs="方正楷体_GBK" w:hint="eastAsia"/>
                <w:kern w:val="0"/>
                <w:sz w:val="22"/>
              </w:rPr>
              <w:lastRenderedPageBreak/>
              <w:t>理规范性</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部门的资产是否保存</w:t>
            </w:r>
            <w:r>
              <w:rPr>
                <w:rFonts w:ascii="Times New Roman" w:eastAsia="方正楷体_GBK" w:hAnsi="Times New Roman" w:cs="方正楷体_GBK" w:hint="eastAsia"/>
                <w:kern w:val="0"/>
                <w:sz w:val="22"/>
              </w:rPr>
              <w:lastRenderedPageBreak/>
              <w:t>完整、使用合</w:t>
            </w:r>
            <w:proofErr w:type="gramStart"/>
            <w:r>
              <w:rPr>
                <w:rFonts w:ascii="Times New Roman" w:eastAsia="方正楷体_GBK" w:hAnsi="Times New Roman" w:cs="方正楷体_GBK" w:hint="eastAsia"/>
                <w:kern w:val="0"/>
                <w:sz w:val="22"/>
              </w:rPr>
              <w:t>规</w:t>
            </w:r>
            <w:proofErr w:type="gramEnd"/>
            <w:r>
              <w:rPr>
                <w:rFonts w:ascii="Times New Roman" w:eastAsia="方正楷体_GBK" w:hAnsi="Times New Roman" w:cs="方正楷体_GBK" w:hint="eastAsia"/>
                <w:kern w:val="0"/>
                <w:sz w:val="22"/>
              </w:rPr>
              <w:t>、配置合理、处理规范、收入及时足额上缴，用以反映和考核部门资产安全运行情况。</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评价要点；</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lastRenderedPageBreak/>
              <w:t>1</w:t>
            </w:r>
            <w:r>
              <w:rPr>
                <w:rFonts w:ascii="Times New Roman" w:eastAsia="方正楷体_GBK" w:hAnsi="Times New Roman" w:cs="方正楷体_GBK" w:hint="eastAsia"/>
                <w:kern w:val="0"/>
                <w:sz w:val="22"/>
              </w:rPr>
              <w:t>．资产保存是否完整，是否按规定流程报请使用；</w:t>
            </w:r>
            <w:r>
              <w:rPr>
                <w:rFonts w:ascii="Times New Roman" w:eastAsia="方正楷体_GBK" w:hAnsi="Times New Roman" w:cs="方正楷体_GBK" w:hint="eastAsia"/>
                <w:kern w:val="0"/>
                <w:sz w:val="22"/>
              </w:rPr>
              <w:br/>
              <w:t>2</w:t>
            </w:r>
            <w:r>
              <w:rPr>
                <w:rFonts w:ascii="Times New Roman" w:eastAsia="方正楷体_GBK" w:hAnsi="Times New Roman" w:cs="方正楷体_GBK" w:hint="eastAsia"/>
                <w:kern w:val="0"/>
                <w:sz w:val="22"/>
              </w:rPr>
              <w:t>．资产配置是否合理：</w:t>
            </w:r>
            <w:r>
              <w:rPr>
                <w:rFonts w:ascii="Times New Roman" w:eastAsia="方正楷体_GBK" w:hAnsi="Times New Roman" w:cs="方正楷体_GBK" w:hint="eastAsia"/>
                <w:kern w:val="0"/>
                <w:sz w:val="22"/>
              </w:rPr>
              <w:br/>
              <w:t>3</w:t>
            </w:r>
            <w:r>
              <w:rPr>
                <w:rFonts w:ascii="Times New Roman" w:eastAsia="方正楷体_GBK" w:hAnsi="Times New Roman" w:cs="方正楷体_GBK" w:hint="eastAsia"/>
                <w:kern w:val="0"/>
                <w:sz w:val="22"/>
              </w:rPr>
              <w:t>．资产处置是否规范；</w:t>
            </w:r>
            <w:r>
              <w:rPr>
                <w:rFonts w:ascii="Times New Roman" w:eastAsia="方正楷体_GBK" w:hAnsi="Times New Roman" w:cs="方正楷体_GBK" w:hint="eastAsia"/>
                <w:kern w:val="0"/>
                <w:sz w:val="22"/>
              </w:rPr>
              <w:br/>
              <w:t>4</w:t>
            </w:r>
            <w:r>
              <w:rPr>
                <w:rFonts w:ascii="Times New Roman" w:eastAsia="方正楷体_GBK" w:hAnsi="Times New Roman" w:cs="方正楷体_GBK" w:hint="eastAsia"/>
                <w:kern w:val="0"/>
                <w:sz w:val="22"/>
              </w:rPr>
              <w:t>．资产是否经清查和统计，账务管理是否合</w:t>
            </w:r>
            <w:proofErr w:type="gramStart"/>
            <w:r>
              <w:rPr>
                <w:rFonts w:ascii="Times New Roman" w:eastAsia="方正楷体_GBK" w:hAnsi="Times New Roman" w:cs="方正楷体_GBK" w:hint="eastAsia"/>
                <w:kern w:val="0"/>
                <w:sz w:val="22"/>
              </w:rPr>
              <w:t>规</w:t>
            </w:r>
            <w:proofErr w:type="gramEnd"/>
            <w:r>
              <w:rPr>
                <w:rFonts w:ascii="Times New Roman" w:eastAsia="方正楷体_GBK" w:hAnsi="Times New Roman" w:cs="方正楷体_GBK" w:hint="eastAsia"/>
                <w:kern w:val="0"/>
                <w:sz w:val="22"/>
              </w:rPr>
              <w:t>，是否账实相符；</w:t>
            </w:r>
            <w:r>
              <w:rPr>
                <w:rFonts w:ascii="Times New Roman" w:eastAsia="方正楷体_GBK" w:hAnsi="Times New Roman" w:cs="方正楷体_GBK" w:hint="eastAsia"/>
                <w:kern w:val="0"/>
                <w:sz w:val="22"/>
              </w:rPr>
              <w:br/>
              <w:t>5</w:t>
            </w:r>
            <w:r>
              <w:rPr>
                <w:rFonts w:ascii="Times New Roman" w:eastAsia="方正楷体_GBK" w:hAnsi="Times New Roman" w:cs="方正楷体_GBK" w:hint="eastAsia"/>
                <w:kern w:val="0"/>
                <w:sz w:val="22"/>
              </w:rPr>
              <w:t>．资产是否有偿使用及处置收入及时足额上缴。</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评分规则：</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以上评价要点各占</w:t>
            </w:r>
            <w:r>
              <w:rPr>
                <w:rFonts w:ascii="Times New Roman" w:eastAsia="方正楷体_GBK" w:hAnsi="Times New Roman" w:cs="方正楷体_GBK" w:hint="eastAsia"/>
                <w:kern w:val="0"/>
                <w:sz w:val="22"/>
              </w:rPr>
              <w:t>1/5</w:t>
            </w:r>
            <w:r>
              <w:rPr>
                <w:rFonts w:ascii="Times New Roman" w:eastAsia="方正楷体_GBK" w:hAnsi="Times New Roman" w:cs="方正楷体_GBK" w:hint="eastAsia"/>
                <w:kern w:val="0"/>
                <w:sz w:val="22"/>
              </w:rPr>
              <w:t>权重，每个要点执行情况分好、中、差三档，按</w:t>
            </w:r>
            <w:r>
              <w:rPr>
                <w:rFonts w:ascii="Times New Roman" w:eastAsia="方正楷体_GBK" w:hAnsi="Times New Roman" w:cs="方正楷体_GBK" w:hint="eastAsia"/>
                <w:kern w:val="0"/>
                <w:sz w:val="22"/>
              </w:rPr>
              <w:t>100%-80%</w:t>
            </w:r>
            <w:r>
              <w:rPr>
                <w:rFonts w:ascii="Times New Roman" w:eastAsia="方正楷体_GBK" w:hAnsi="Times New Roman" w:cs="方正楷体_GBK" w:hint="eastAsia"/>
                <w:kern w:val="0"/>
                <w:sz w:val="22"/>
              </w:rPr>
              <w:t>（含）、</w:t>
            </w:r>
            <w:r>
              <w:rPr>
                <w:rFonts w:ascii="Times New Roman" w:eastAsia="方正楷体_GBK" w:hAnsi="Times New Roman" w:cs="方正楷体_GBK" w:hint="eastAsia"/>
                <w:kern w:val="0"/>
                <w:sz w:val="22"/>
              </w:rPr>
              <w:t>80%-60%</w:t>
            </w:r>
            <w:r>
              <w:rPr>
                <w:rFonts w:ascii="Times New Roman" w:eastAsia="方正楷体_GBK" w:hAnsi="Times New Roman" w:cs="方正楷体_GBK" w:hint="eastAsia"/>
                <w:kern w:val="0"/>
                <w:sz w:val="22"/>
              </w:rPr>
              <w:t>（含）、</w:t>
            </w:r>
            <w:r>
              <w:rPr>
                <w:rFonts w:ascii="Times New Roman" w:eastAsia="方正楷体_GBK" w:hAnsi="Times New Roman" w:cs="方正楷体_GBK" w:hint="eastAsia"/>
                <w:kern w:val="0"/>
                <w:sz w:val="22"/>
              </w:rPr>
              <w:t>60%-0%</w:t>
            </w:r>
            <w:r>
              <w:rPr>
                <w:rFonts w:ascii="Times New Roman" w:eastAsia="方正楷体_GBK" w:hAnsi="Times New Roman" w:cs="方正楷体_GBK" w:hint="eastAsia"/>
                <w:kern w:val="0"/>
                <w:sz w:val="22"/>
              </w:rPr>
              <w:t>评分。</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规范</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部门资产保存完</w:t>
            </w:r>
            <w:r>
              <w:rPr>
                <w:rFonts w:ascii="Times New Roman" w:eastAsia="方正楷体_GBK" w:hAnsi="Times New Roman" w:cs="方正楷体_GBK" w:hint="eastAsia"/>
                <w:kern w:val="0"/>
                <w:sz w:val="22"/>
              </w:rPr>
              <w:lastRenderedPageBreak/>
              <w:t>整、使用合</w:t>
            </w:r>
            <w:proofErr w:type="gramStart"/>
            <w:r>
              <w:rPr>
                <w:rFonts w:ascii="Times New Roman" w:eastAsia="方正楷体_GBK" w:hAnsi="Times New Roman" w:cs="方正楷体_GBK" w:hint="eastAsia"/>
                <w:kern w:val="0"/>
                <w:sz w:val="22"/>
              </w:rPr>
              <w:t>规</w:t>
            </w:r>
            <w:proofErr w:type="gramEnd"/>
            <w:r>
              <w:rPr>
                <w:rFonts w:ascii="Times New Roman" w:eastAsia="方正楷体_GBK" w:hAnsi="Times New Roman" w:cs="方正楷体_GBK" w:hint="eastAsia"/>
                <w:kern w:val="0"/>
                <w:sz w:val="22"/>
              </w:rPr>
              <w:t>、配置合理、处理规范。</w:t>
            </w:r>
          </w:p>
        </w:tc>
      </w:tr>
      <w:tr w:rsidR="001A79DF">
        <w:trPr>
          <w:trHeight w:val="23"/>
        </w:trPr>
        <w:tc>
          <w:tcPr>
            <w:tcW w:w="263" w:type="pct"/>
            <w:vMerge/>
            <w:tcBorders>
              <w:top w:val="nil"/>
              <w:left w:val="single" w:sz="4" w:space="0" w:color="auto"/>
              <w:bottom w:val="nil"/>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nil"/>
              <w:left w:val="single" w:sz="4" w:space="0" w:color="auto"/>
              <w:bottom w:val="single" w:sz="4" w:space="0" w:color="000000"/>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B33</w:t>
            </w:r>
            <w:r>
              <w:rPr>
                <w:rFonts w:ascii="Times New Roman" w:eastAsia="方正楷体_GBK" w:hAnsi="Times New Roman" w:cs="方正楷体_GBK" w:hint="eastAsia"/>
                <w:kern w:val="0"/>
                <w:sz w:val="22"/>
              </w:rPr>
              <w:t>固定资产利用率</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部门实际在用固定资产总额与所有固定资产总额的比率，用以反映和考核部门固定资产使用效率程度。</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固定资产利用率</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（实际在用固定资产总额</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所有固定资产总额）</w:t>
            </w:r>
            <w:r>
              <w:rPr>
                <w:rFonts w:ascii="Times New Roman" w:eastAsia="方正楷体_GBK" w:hAnsi="Times New Roman" w:cs="方正楷体_GBK" w:hint="eastAsia"/>
                <w:kern w:val="0"/>
                <w:sz w:val="22"/>
              </w:rPr>
              <w:t>*100%</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评分规则：</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得分</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固定资产利用率</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分值。</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100%</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部门固定资产利用率为</w:t>
            </w:r>
            <w:r>
              <w:rPr>
                <w:rFonts w:ascii="Times New Roman" w:eastAsia="方正楷体_GBK" w:hAnsi="Times New Roman" w:cs="方正楷体_GBK" w:hint="eastAsia"/>
                <w:kern w:val="0"/>
                <w:sz w:val="22"/>
              </w:rPr>
              <w:t>100%</w:t>
            </w:r>
            <w:r>
              <w:rPr>
                <w:rFonts w:ascii="Times New Roman" w:eastAsia="方正楷体_GBK" w:hAnsi="Times New Roman" w:cs="方正楷体_GBK" w:hint="eastAsia"/>
                <w:kern w:val="0"/>
                <w:sz w:val="22"/>
              </w:rPr>
              <w:t>。</w:t>
            </w:r>
          </w:p>
        </w:tc>
      </w:tr>
      <w:tr w:rsidR="001A79DF">
        <w:trPr>
          <w:trHeight w:val="23"/>
        </w:trPr>
        <w:tc>
          <w:tcPr>
            <w:tcW w:w="263" w:type="pct"/>
            <w:vMerge/>
            <w:tcBorders>
              <w:top w:val="nil"/>
              <w:left w:val="single" w:sz="4" w:space="0" w:color="auto"/>
              <w:bottom w:val="nil"/>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val="restart"/>
            <w:tcBorders>
              <w:top w:val="nil"/>
              <w:left w:val="single" w:sz="4" w:space="0" w:color="auto"/>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B4</w:t>
            </w:r>
            <w:r>
              <w:rPr>
                <w:rFonts w:ascii="Times New Roman" w:eastAsia="方正楷体_GBK" w:hAnsi="Times New Roman" w:cs="方正楷体_GBK" w:hint="eastAsia"/>
                <w:kern w:val="0"/>
                <w:sz w:val="22"/>
              </w:rPr>
              <w:t>项目管理</w:t>
            </w: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B41</w:t>
            </w:r>
            <w:r>
              <w:rPr>
                <w:rFonts w:ascii="Times New Roman" w:eastAsia="方正楷体_GBK" w:hAnsi="Times New Roman" w:cs="方正楷体_GBK" w:hint="eastAsia"/>
                <w:kern w:val="0"/>
                <w:sz w:val="22"/>
              </w:rPr>
              <w:t>项目管理制度健全性</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部门项目管理制度是否健全，用以反映和考核项目管理制度对项目顺利实施的保障情况。</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r>
              <w:rPr>
                <w:rFonts w:ascii="Times New Roman" w:eastAsia="方正楷体_GBK" w:hAnsi="Times New Roman" w:cs="方正楷体_GBK" w:hint="eastAsia"/>
                <w:kern w:val="0"/>
                <w:sz w:val="22"/>
              </w:rPr>
              <w:br/>
              <w:t>1</w:t>
            </w:r>
            <w:r>
              <w:rPr>
                <w:rFonts w:ascii="Times New Roman" w:eastAsia="方正楷体_GBK" w:hAnsi="Times New Roman" w:cs="方正楷体_GBK" w:hint="eastAsia"/>
                <w:kern w:val="0"/>
                <w:sz w:val="22"/>
              </w:rPr>
              <w:t>．各项</w:t>
            </w:r>
            <w:proofErr w:type="gramStart"/>
            <w:r>
              <w:rPr>
                <w:rFonts w:ascii="Times New Roman" w:eastAsia="方正楷体_GBK" w:hAnsi="Times New Roman" w:cs="方正楷体_GBK" w:hint="eastAsia"/>
                <w:kern w:val="0"/>
                <w:sz w:val="22"/>
              </w:rPr>
              <w:t>目是否</w:t>
            </w:r>
            <w:proofErr w:type="gramEnd"/>
            <w:r>
              <w:rPr>
                <w:rFonts w:ascii="Times New Roman" w:eastAsia="方正楷体_GBK" w:hAnsi="Times New Roman" w:cs="方正楷体_GBK" w:hint="eastAsia"/>
                <w:kern w:val="0"/>
                <w:sz w:val="22"/>
              </w:rPr>
              <w:t>制定项目管理制度；</w:t>
            </w:r>
            <w:r>
              <w:rPr>
                <w:rFonts w:ascii="Times New Roman" w:eastAsia="方正楷体_GBK" w:hAnsi="Times New Roman" w:cs="方正楷体_GBK" w:hint="eastAsia"/>
                <w:kern w:val="0"/>
                <w:sz w:val="22"/>
              </w:rPr>
              <w:br/>
              <w:t>2</w:t>
            </w:r>
            <w:r>
              <w:rPr>
                <w:rFonts w:ascii="Times New Roman" w:eastAsia="方正楷体_GBK" w:hAnsi="Times New Roman" w:cs="方正楷体_GBK" w:hint="eastAsia"/>
                <w:kern w:val="0"/>
                <w:sz w:val="22"/>
              </w:rPr>
              <w:t>．各项目管理制度是否合法、合</w:t>
            </w:r>
            <w:proofErr w:type="gramStart"/>
            <w:r>
              <w:rPr>
                <w:rFonts w:ascii="Times New Roman" w:eastAsia="方正楷体_GBK" w:hAnsi="Times New Roman" w:cs="方正楷体_GBK" w:hint="eastAsia"/>
                <w:kern w:val="0"/>
                <w:sz w:val="22"/>
              </w:rPr>
              <w:t>规</w:t>
            </w:r>
            <w:proofErr w:type="gramEnd"/>
            <w:r>
              <w:rPr>
                <w:rFonts w:ascii="Times New Roman" w:eastAsia="方正楷体_GBK" w:hAnsi="Times New Roman" w:cs="方正楷体_GBK" w:hint="eastAsia"/>
                <w:kern w:val="0"/>
                <w:sz w:val="22"/>
              </w:rPr>
              <w:t>、内容完整、包括职责分工，项目申报、公示、实施内容、实施进度、实施标准、资金补助标准、资金拨付时间、监督检查、绩效评价、协调机制等。</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评分规则：</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lastRenderedPageBreak/>
              <w:t>以上评价要点各占</w:t>
            </w:r>
            <w:r>
              <w:rPr>
                <w:rFonts w:ascii="Times New Roman" w:eastAsia="方正楷体_GBK" w:hAnsi="Times New Roman" w:cs="方正楷体_GBK" w:hint="eastAsia"/>
                <w:kern w:val="0"/>
                <w:sz w:val="22"/>
              </w:rPr>
              <w:t>1/2</w:t>
            </w:r>
            <w:r>
              <w:rPr>
                <w:rFonts w:ascii="Times New Roman" w:eastAsia="方正楷体_GBK" w:hAnsi="Times New Roman" w:cs="方正楷体_GBK" w:hint="eastAsia"/>
                <w:kern w:val="0"/>
                <w:sz w:val="22"/>
              </w:rPr>
              <w:t>权重，每个要点执行情况分好、中、差三档，按</w:t>
            </w:r>
            <w:r>
              <w:rPr>
                <w:rFonts w:ascii="Times New Roman" w:eastAsia="方正楷体_GBK" w:hAnsi="Times New Roman" w:cs="方正楷体_GBK" w:hint="eastAsia"/>
                <w:kern w:val="0"/>
                <w:sz w:val="22"/>
              </w:rPr>
              <w:t>100%-80%</w:t>
            </w:r>
            <w:r>
              <w:rPr>
                <w:rFonts w:ascii="Times New Roman" w:eastAsia="方正楷体_GBK" w:hAnsi="Times New Roman" w:cs="方正楷体_GBK" w:hint="eastAsia"/>
                <w:kern w:val="0"/>
                <w:sz w:val="22"/>
              </w:rPr>
              <w:t>（含）、</w:t>
            </w:r>
            <w:r>
              <w:rPr>
                <w:rFonts w:ascii="Times New Roman" w:eastAsia="方正楷体_GBK" w:hAnsi="Times New Roman" w:cs="方正楷体_GBK" w:hint="eastAsia"/>
                <w:kern w:val="0"/>
                <w:sz w:val="22"/>
              </w:rPr>
              <w:t>80%-60%</w:t>
            </w:r>
            <w:r>
              <w:rPr>
                <w:rFonts w:ascii="Times New Roman" w:eastAsia="方正楷体_GBK" w:hAnsi="Times New Roman" w:cs="方正楷体_GBK" w:hint="eastAsia"/>
                <w:kern w:val="0"/>
                <w:sz w:val="22"/>
              </w:rPr>
              <w:t>（含）、</w:t>
            </w:r>
            <w:r>
              <w:rPr>
                <w:rFonts w:ascii="Times New Roman" w:eastAsia="方正楷体_GBK" w:hAnsi="Times New Roman" w:cs="方正楷体_GBK" w:hint="eastAsia"/>
                <w:kern w:val="0"/>
                <w:sz w:val="22"/>
              </w:rPr>
              <w:t>60%-0%</w:t>
            </w:r>
            <w:r>
              <w:rPr>
                <w:rFonts w:ascii="Times New Roman" w:eastAsia="方正楷体_GBK" w:hAnsi="Times New Roman" w:cs="方正楷体_GBK" w:hint="eastAsia"/>
                <w:kern w:val="0"/>
                <w:sz w:val="22"/>
              </w:rPr>
              <w:t>评分。</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健全</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部门项目管理制度健全。</w:t>
            </w:r>
          </w:p>
        </w:tc>
      </w:tr>
      <w:tr w:rsidR="001A79DF">
        <w:trPr>
          <w:trHeight w:val="23"/>
        </w:trPr>
        <w:tc>
          <w:tcPr>
            <w:tcW w:w="263" w:type="pct"/>
            <w:vMerge/>
            <w:tcBorders>
              <w:top w:val="nil"/>
              <w:left w:val="single" w:sz="4" w:space="0" w:color="auto"/>
              <w:bottom w:val="nil"/>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nil"/>
              <w:left w:val="single" w:sz="4" w:space="0" w:color="auto"/>
              <w:bottom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B42</w:t>
            </w:r>
            <w:r>
              <w:rPr>
                <w:rFonts w:ascii="Times New Roman" w:eastAsia="方正楷体_GBK" w:hAnsi="Times New Roman" w:cs="方正楷体_GBK" w:hint="eastAsia"/>
                <w:kern w:val="0"/>
                <w:sz w:val="22"/>
              </w:rPr>
              <w:t>项目管理制度执行规范性</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项目实施是否符合相关管理规定，用以反映和考核相关管理制度的有效执行情况。</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r>
              <w:rPr>
                <w:rFonts w:ascii="Times New Roman" w:eastAsia="方正楷体_GBK" w:hAnsi="Times New Roman" w:cs="方正楷体_GBK" w:hint="eastAsia"/>
                <w:kern w:val="0"/>
                <w:sz w:val="22"/>
              </w:rPr>
              <w:br/>
              <w:t>1</w:t>
            </w:r>
            <w:r>
              <w:rPr>
                <w:rFonts w:ascii="Times New Roman" w:eastAsia="方正楷体_GBK" w:hAnsi="Times New Roman" w:cs="方正楷体_GBK" w:hint="eastAsia"/>
                <w:kern w:val="0"/>
                <w:sz w:val="22"/>
              </w:rPr>
              <w:t>．项目管理工作机制是否健全，沟通协调是否顺畅；</w:t>
            </w:r>
            <w:r>
              <w:rPr>
                <w:rFonts w:ascii="Times New Roman" w:eastAsia="方正楷体_GBK" w:hAnsi="Times New Roman" w:cs="方正楷体_GBK" w:hint="eastAsia"/>
                <w:kern w:val="0"/>
                <w:sz w:val="22"/>
              </w:rPr>
              <w:br/>
              <w:t>2</w:t>
            </w:r>
            <w:r>
              <w:rPr>
                <w:rFonts w:ascii="Times New Roman" w:eastAsia="方正楷体_GBK" w:hAnsi="Times New Roman" w:cs="方正楷体_GBK" w:hint="eastAsia"/>
                <w:kern w:val="0"/>
                <w:sz w:val="22"/>
              </w:rPr>
              <w:t>．项目是否按照要求规范严格地执行所有的制度内容，包括可行性论证、概算、预算、施工设计、资金拨付、组织申报、政府采购、招投标、监理、中期检查、竣工验收、公开公示等；</w:t>
            </w:r>
            <w:r>
              <w:rPr>
                <w:rFonts w:ascii="Times New Roman" w:eastAsia="方正楷体_GBK" w:hAnsi="Times New Roman" w:cs="方正楷体_GBK" w:hint="eastAsia"/>
                <w:kern w:val="0"/>
                <w:sz w:val="22"/>
              </w:rPr>
              <w:br/>
              <w:t>3</w:t>
            </w:r>
            <w:r>
              <w:rPr>
                <w:rFonts w:ascii="Times New Roman" w:eastAsia="方正楷体_GBK" w:hAnsi="Times New Roman" w:cs="方正楷体_GBK" w:hint="eastAsia"/>
                <w:kern w:val="0"/>
                <w:sz w:val="22"/>
              </w:rPr>
              <w:t>．是否按要求开展监督检查和绩效评价。</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评分规则：</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lastRenderedPageBreak/>
              <w:t>以上评价要点各占</w:t>
            </w:r>
            <w:r>
              <w:rPr>
                <w:rFonts w:ascii="Times New Roman" w:eastAsia="方正楷体_GBK" w:hAnsi="Times New Roman" w:cs="方正楷体_GBK" w:hint="eastAsia"/>
                <w:kern w:val="0"/>
                <w:sz w:val="22"/>
              </w:rPr>
              <w:t>1/3</w:t>
            </w:r>
            <w:r>
              <w:rPr>
                <w:rFonts w:ascii="Times New Roman" w:eastAsia="方正楷体_GBK" w:hAnsi="Times New Roman" w:cs="方正楷体_GBK" w:hint="eastAsia"/>
                <w:kern w:val="0"/>
                <w:sz w:val="22"/>
              </w:rPr>
              <w:t>权重，每个要点执行情况分好、中、差三档，按</w:t>
            </w:r>
            <w:r>
              <w:rPr>
                <w:rFonts w:ascii="Times New Roman" w:eastAsia="方正楷体_GBK" w:hAnsi="Times New Roman" w:cs="方正楷体_GBK" w:hint="eastAsia"/>
                <w:kern w:val="0"/>
                <w:sz w:val="22"/>
              </w:rPr>
              <w:t>100%-80%</w:t>
            </w:r>
            <w:r>
              <w:rPr>
                <w:rFonts w:ascii="Times New Roman" w:eastAsia="方正楷体_GBK" w:hAnsi="Times New Roman" w:cs="方正楷体_GBK" w:hint="eastAsia"/>
                <w:kern w:val="0"/>
                <w:sz w:val="22"/>
              </w:rPr>
              <w:t>（含）、</w:t>
            </w:r>
            <w:r>
              <w:rPr>
                <w:rFonts w:ascii="Times New Roman" w:eastAsia="方正楷体_GBK" w:hAnsi="Times New Roman" w:cs="方正楷体_GBK" w:hint="eastAsia"/>
                <w:kern w:val="0"/>
                <w:sz w:val="22"/>
              </w:rPr>
              <w:t>80%-60%</w:t>
            </w:r>
            <w:r>
              <w:rPr>
                <w:rFonts w:ascii="Times New Roman" w:eastAsia="方正楷体_GBK" w:hAnsi="Times New Roman" w:cs="方正楷体_GBK" w:hint="eastAsia"/>
                <w:kern w:val="0"/>
                <w:sz w:val="22"/>
              </w:rPr>
              <w:t>（含）、</w:t>
            </w:r>
            <w:r>
              <w:rPr>
                <w:rFonts w:ascii="Times New Roman" w:eastAsia="方正楷体_GBK" w:hAnsi="Times New Roman" w:cs="方正楷体_GBK" w:hint="eastAsia"/>
                <w:kern w:val="0"/>
                <w:sz w:val="22"/>
              </w:rPr>
              <w:t>60%-0%</w:t>
            </w:r>
            <w:r>
              <w:rPr>
                <w:rFonts w:ascii="Times New Roman" w:eastAsia="方正楷体_GBK" w:hAnsi="Times New Roman" w:cs="方正楷体_GBK" w:hint="eastAsia"/>
                <w:kern w:val="0"/>
                <w:sz w:val="22"/>
              </w:rPr>
              <w:t>评分。</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规范</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部门项目实施符合相关管理规定。</w:t>
            </w:r>
          </w:p>
        </w:tc>
      </w:tr>
      <w:tr w:rsidR="001A79DF">
        <w:trPr>
          <w:trHeight w:val="23"/>
        </w:trPr>
        <w:tc>
          <w:tcPr>
            <w:tcW w:w="263" w:type="pct"/>
            <w:vMerge/>
            <w:tcBorders>
              <w:top w:val="nil"/>
              <w:left w:val="single" w:sz="4" w:space="0" w:color="auto"/>
              <w:bottom w:val="nil"/>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val="restart"/>
            <w:tcBorders>
              <w:top w:val="nil"/>
              <w:left w:val="single" w:sz="4" w:space="0" w:color="auto"/>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B5</w:t>
            </w:r>
            <w:r>
              <w:rPr>
                <w:rFonts w:ascii="Times New Roman" w:eastAsia="方正楷体_GBK" w:hAnsi="Times New Roman" w:cs="方正楷体_GBK" w:hint="eastAsia"/>
                <w:kern w:val="0"/>
                <w:sz w:val="22"/>
              </w:rPr>
              <w:t>人员管理</w:t>
            </w: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B51</w:t>
            </w:r>
            <w:r>
              <w:rPr>
                <w:rFonts w:ascii="Times New Roman" w:eastAsia="方正楷体_GBK" w:hAnsi="Times New Roman" w:cs="方正楷体_GBK" w:hint="eastAsia"/>
                <w:kern w:val="0"/>
                <w:sz w:val="22"/>
              </w:rPr>
              <w:t>人事管理制度健全性</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部门人事管理制度是否健全，用以反映和考核人事管理制度对部门正常运行、履行职责的保障情况。</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r>
              <w:rPr>
                <w:rFonts w:ascii="Times New Roman" w:eastAsia="方正楷体_GBK" w:hAnsi="Times New Roman" w:cs="方正楷体_GBK" w:hint="eastAsia"/>
                <w:kern w:val="0"/>
                <w:sz w:val="22"/>
              </w:rPr>
              <w:br/>
              <w:t>1</w:t>
            </w:r>
            <w:r>
              <w:rPr>
                <w:rFonts w:ascii="Times New Roman" w:eastAsia="方正楷体_GBK" w:hAnsi="Times New Roman" w:cs="方正楷体_GBK" w:hint="eastAsia"/>
                <w:kern w:val="0"/>
                <w:sz w:val="22"/>
              </w:rPr>
              <w:t>．部门对内部各处室、全体干部职工建立完整的考核办法；</w:t>
            </w:r>
            <w:r>
              <w:rPr>
                <w:rFonts w:ascii="Times New Roman" w:eastAsia="方正楷体_GBK" w:hAnsi="Times New Roman" w:cs="方正楷体_GBK" w:hint="eastAsia"/>
                <w:kern w:val="0"/>
                <w:sz w:val="22"/>
              </w:rPr>
              <w:br/>
              <w:t>2</w:t>
            </w:r>
            <w:r>
              <w:rPr>
                <w:rFonts w:ascii="Times New Roman" w:eastAsia="方正楷体_GBK" w:hAnsi="Times New Roman" w:cs="方正楷体_GBK" w:hint="eastAsia"/>
                <w:kern w:val="0"/>
                <w:sz w:val="22"/>
              </w:rPr>
              <w:t>．建立全过程考核管理，日常工作考核与年度目标考核紧密关联；</w:t>
            </w:r>
            <w:r>
              <w:rPr>
                <w:rFonts w:ascii="Times New Roman" w:eastAsia="方正楷体_GBK" w:hAnsi="Times New Roman" w:cs="方正楷体_GBK" w:hint="eastAsia"/>
                <w:kern w:val="0"/>
                <w:sz w:val="22"/>
              </w:rPr>
              <w:br/>
              <w:t>3</w:t>
            </w:r>
            <w:r>
              <w:rPr>
                <w:rFonts w:ascii="Times New Roman" w:eastAsia="方正楷体_GBK" w:hAnsi="Times New Roman" w:cs="方正楷体_GBK" w:hint="eastAsia"/>
                <w:kern w:val="0"/>
                <w:sz w:val="22"/>
              </w:rPr>
              <w:t>．工作考核管理办法与问</w:t>
            </w:r>
            <w:proofErr w:type="gramStart"/>
            <w:r>
              <w:rPr>
                <w:rFonts w:ascii="Times New Roman" w:eastAsia="方正楷体_GBK" w:hAnsi="Times New Roman" w:cs="方正楷体_GBK" w:hint="eastAsia"/>
                <w:kern w:val="0"/>
                <w:sz w:val="22"/>
              </w:rPr>
              <w:t>责办法</w:t>
            </w:r>
            <w:proofErr w:type="gramEnd"/>
            <w:r>
              <w:rPr>
                <w:rFonts w:ascii="Times New Roman" w:eastAsia="方正楷体_GBK" w:hAnsi="Times New Roman" w:cs="方正楷体_GBK" w:hint="eastAsia"/>
                <w:kern w:val="0"/>
                <w:sz w:val="22"/>
              </w:rPr>
              <w:t>相匹配。</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评分规则：</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以上评价要点各占</w:t>
            </w:r>
            <w:r>
              <w:rPr>
                <w:rFonts w:ascii="Times New Roman" w:eastAsia="方正楷体_GBK" w:hAnsi="Times New Roman" w:cs="方正楷体_GBK" w:hint="eastAsia"/>
                <w:kern w:val="0"/>
                <w:sz w:val="22"/>
              </w:rPr>
              <w:t>1/3</w:t>
            </w:r>
            <w:r>
              <w:rPr>
                <w:rFonts w:ascii="Times New Roman" w:eastAsia="方正楷体_GBK" w:hAnsi="Times New Roman" w:cs="方正楷体_GBK" w:hint="eastAsia"/>
                <w:kern w:val="0"/>
                <w:sz w:val="22"/>
              </w:rPr>
              <w:t>权重，每个要点执行情况分好、中、差三档，按</w:t>
            </w:r>
            <w:r>
              <w:rPr>
                <w:rFonts w:ascii="Times New Roman" w:eastAsia="方正楷体_GBK" w:hAnsi="Times New Roman" w:cs="方正楷体_GBK" w:hint="eastAsia"/>
                <w:kern w:val="0"/>
                <w:sz w:val="22"/>
              </w:rPr>
              <w:t>I00%-80%</w:t>
            </w:r>
            <w:r>
              <w:rPr>
                <w:rFonts w:ascii="Times New Roman" w:eastAsia="方正楷体_GBK" w:hAnsi="Times New Roman" w:cs="方正楷体_GBK" w:hint="eastAsia"/>
                <w:kern w:val="0"/>
                <w:sz w:val="22"/>
              </w:rPr>
              <w:t>（含）、</w:t>
            </w:r>
            <w:r>
              <w:rPr>
                <w:rFonts w:ascii="Times New Roman" w:eastAsia="方正楷体_GBK" w:hAnsi="Times New Roman" w:cs="方正楷体_GBK" w:hint="eastAsia"/>
                <w:kern w:val="0"/>
                <w:sz w:val="22"/>
              </w:rPr>
              <w:lastRenderedPageBreak/>
              <w:t>80%-60%</w:t>
            </w:r>
            <w:r>
              <w:rPr>
                <w:rFonts w:ascii="Times New Roman" w:eastAsia="方正楷体_GBK" w:hAnsi="Times New Roman" w:cs="方正楷体_GBK" w:hint="eastAsia"/>
                <w:kern w:val="0"/>
                <w:sz w:val="22"/>
              </w:rPr>
              <w:t>（含）、</w:t>
            </w:r>
            <w:r>
              <w:rPr>
                <w:rFonts w:ascii="Times New Roman" w:eastAsia="方正楷体_GBK" w:hAnsi="Times New Roman" w:cs="方正楷体_GBK" w:hint="eastAsia"/>
                <w:kern w:val="0"/>
                <w:sz w:val="22"/>
              </w:rPr>
              <w:t>60%-0%</w:t>
            </w:r>
            <w:r>
              <w:rPr>
                <w:rFonts w:ascii="Times New Roman" w:eastAsia="方正楷体_GBK" w:hAnsi="Times New Roman" w:cs="方正楷体_GBK" w:hint="eastAsia"/>
                <w:kern w:val="0"/>
                <w:sz w:val="22"/>
              </w:rPr>
              <w:t>评分。</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健全</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部门人事管理制度健全。</w:t>
            </w:r>
          </w:p>
        </w:tc>
      </w:tr>
      <w:tr w:rsidR="001A79DF">
        <w:trPr>
          <w:trHeight w:val="23"/>
        </w:trPr>
        <w:tc>
          <w:tcPr>
            <w:tcW w:w="263" w:type="pct"/>
            <w:vMerge/>
            <w:tcBorders>
              <w:top w:val="nil"/>
              <w:left w:val="single" w:sz="4" w:space="0" w:color="auto"/>
              <w:bottom w:val="nil"/>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nil"/>
              <w:left w:val="single" w:sz="4" w:space="0" w:color="auto"/>
              <w:bottom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B52</w:t>
            </w:r>
            <w:r>
              <w:rPr>
                <w:rFonts w:ascii="Times New Roman" w:eastAsia="方正楷体_GBK" w:hAnsi="Times New Roman" w:cs="方正楷体_GBK" w:hint="eastAsia"/>
                <w:kern w:val="0"/>
                <w:sz w:val="22"/>
              </w:rPr>
              <w:t>人事管理制度执行有效性</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人事管理是否符合相关管理规定，用以反映和考核人事管理制度的有效执行情况。</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r>
              <w:rPr>
                <w:rFonts w:ascii="Times New Roman" w:eastAsia="方正楷体_GBK" w:hAnsi="Times New Roman" w:cs="方正楷体_GBK" w:hint="eastAsia"/>
                <w:kern w:val="0"/>
                <w:sz w:val="22"/>
              </w:rPr>
              <w:br/>
              <w:t>1</w:t>
            </w:r>
            <w:r>
              <w:rPr>
                <w:rFonts w:ascii="Times New Roman" w:eastAsia="方正楷体_GBK" w:hAnsi="Times New Roman" w:cs="方正楷体_GBK" w:hint="eastAsia"/>
                <w:kern w:val="0"/>
                <w:sz w:val="22"/>
              </w:rPr>
              <w:t>．处室每季度组织个人工作业绩考核，考核资料完整；</w:t>
            </w:r>
            <w:r>
              <w:rPr>
                <w:rFonts w:ascii="Times New Roman" w:eastAsia="方正楷体_GBK" w:hAnsi="Times New Roman" w:cs="方正楷体_GBK" w:hint="eastAsia"/>
                <w:kern w:val="0"/>
                <w:sz w:val="22"/>
              </w:rPr>
              <w:br/>
              <w:t>2</w:t>
            </w:r>
            <w:r>
              <w:rPr>
                <w:rFonts w:ascii="Times New Roman" w:eastAsia="方正楷体_GBK" w:hAnsi="Times New Roman" w:cs="方正楷体_GBK" w:hint="eastAsia"/>
                <w:kern w:val="0"/>
                <w:sz w:val="22"/>
              </w:rPr>
              <w:t>．年终组织个人、处室考核实施程序规范、资料完整；</w:t>
            </w:r>
            <w:r>
              <w:rPr>
                <w:rFonts w:ascii="Times New Roman" w:eastAsia="方正楷体_GBK" w:hAnsi="Times New Roman" w:cs="方正楷体_GBK" w:hint="eastAsia"/>
                <w:kern w:val="0"/>
                <w:sz w:val="22"/>
              </w:rPr>
              <w:br/>
              <w:t>3</w:t>
            </w:r>
            <w:r>
              <w:rPr>
                <w:rFonts w:ascii="Times New Roman" w:eastAsia="方正楷体_GBK" w:hAnsi="Times New Roman" w:cs="方正楷体_GBK" w:hint="eastAsia"/>
                <w:kern w:val="0"/>
                <w:sz w:val="22"/>
              </w:rPr>
              <w:t>．考核结果切实运用。</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评分规则：</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以上评价要点各占</w:t>
            </w:r>
            <w:r>
              <w:rPr>
                <w:rFonts w:ascii="Times New Roman" w:eastAsia="方正楷体_GBK" w:hAnsi="Times New Roman" w:cs="方正楷体_GBK" w:hint="eastAsia"/>
                <w:kern w:val="0"/>
                <w:sz w:val="22"/>
              </w:rPr>
              <w:t>1/3</w:t>
            </w:r>
            <w:r>
              <w:rPr>
                <w:rFonts w:ascii="Times New Roman" w:eastAsia="方正楷体_GBK" w:hAnsi="Times New Roman" w:cs="方正楷体_GBK" w:hint="eastAsia"/>
                <w:kern w:val="0"/>
                <w:sz w:val="22"/>
              </w:rPr>
              <w:t>权重。每个要点执行情况分好、中、差三档，按</w:t>
            </w:r>
            <w:r>
              <w:rPr>
                <w:rFonts w:ascii="Times New Roman" w:eastAsia="方正楷体_GBK" w:hAnsi="Times New Roman" w:cs="方正楷体_GBK" w:hint="eastAsia"/>
                <w:kern w:val="0"/>
                <w:sz w:val="22"/>
              </w:rPr>
              <w:t>100%-80%</w:t>
            </w:r>
            <w:r>
              <w:rPr>
                <w:rFonts w:ascii="Times New Roman" w:eastAsia="方正楷体_GBK" w:hAnsi="Times New Roman" w:cs="方正楷体_GBK" w:hint="eastAsia"/>
                <w:kern w:val="0"/>
                <w:sz w:val="22"/>
              </w:rPr>
              <w:t>（含），</w:t>
            </w:r>
            <w:r>
              <w:rPr>
                <w:rFonts w:ascii="Times New Roman" w:eastAsia="方正楷体_GBK" w:hAnsi="Times New Roman" w:cs="方正楷体_GBK" w:hint="eastAsia"/>
                <w:kern w:val="0"/>
                <w:sz w:val="22"/>
              </w:rPr>
              <w:t>80%-60%</w:t>
            </w:r>
            <w:r>
              <w:rPr>
                <w:rFonts w:ascii="Times New Roman" w:eastAsia="方正楷体_GBK" w:hAnsi="Times New Roman" w:cs="方正楷体_GBK" w:hint="eastAsia"/>
                <w:kern w:val="0"/>
                <w:sz w:val="22"/>
              </w:rPr>
              <w:t>（含），</w:t>
            </w:r>
            <w:r>
              <w:rPr>
                <w:rFonts w:ascii="Times New Roman" w:eastAsia="方正楷体_GBK" w:hAnsi="Times New Roman" w:cs="方正楷体_GBK" w:hint="eastAsia"/>
                <w:kern w:val="0"/>
                <w:sz w:val="22"/>
              </w:rPr>
              <w:t>60%-0%</w:t>
            </w:r>
            <w:r>
              <w:rPr>
                <w:rFonts w:ascii="Times New Roman" w:eastAsia="方正楷体_GBK" w:hAnsi="Times New Roman" w:cs="方正楷体_GBK" w:hint="eastAsia"/>
                <w:kern w:val="0"/>
                <w:sz w:val="22"/>
              </w:rPr>
              <w:t>评分。</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有效</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部门人事管理符合相关管理规定。</w:t>
            </w:r>
          </w:p>
        </w:tc>
      </w:tr>
      <w:tr w:rsidR="001A79DF">
        <w:trPr>
          <w:trHeight w:val="23"/>
        </w:trPr>
        <w:tc>
          <w:tcPr>
            <w:tcW w:w="263" w:type="pct"/>
            <w:vMerge/>
            <w:tcBorders>
              <w:top w:val="nil"/>
              <w:left w:val="single" w:sz="4" w:space="0" w:color="auto"/>
              <w:bottom w:val="nil"/>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nil"/>
              <w:left w:val="single" w:sz="4" w:space="0" w:color="auto"/>
              <w:bottom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B53</w:t>
            </w:r>
            <w:r>
              <w:rPr>
                <w:rFonts w:ascii="Times New Roman" w:eastAsia="方正楷体_GBK" w:hAnsi="Times New Roman" w:cs="方正楷体_GBK" w:hint="eastAsia"/>
                <w:kern w:val="0"/>
                <w:sz w:val="22"/>
              </w:rPr>
              <w:t>在职人</w:t>
            </w:r>
            <w:r>
              <w:rPr>
                <w:rFonts w:ascii="Times New Roman" w:eastAsia="方正楷体_GBK" w:hAnsi="Times New Roman" w:cs="方正楷体_GBK" w:hint="eastAsia"/>
                <w:kern w:val="0"/>
                <w:sz w:val="22"/>
              </w:rPr>
              <w:lastRenderedPageBreak/>
              <w:t>员行政编制控制率</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部门本年度实际在职</w:t>
            </w:r>
            <w:r>
              <w:rPr>
                <w:rFonts w:ascii="Times New Roman" w:eastAsia="方正楷体_GBK" w:hAnsi="Times New Roman" w:cs="方正楷体_GBK" w:hint="eastAsia"/>
                <w:kern w:val="0"/>
                <w:sz w:val="22"/>
              </w:rPr>
              <w:lastRenderedPageBreak/>
              <w:t>人员数与编制数的比率，用以反映和考核部门对人员成本的控制程度。</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在职人员控制率</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（在职人员数</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编制数）</w:t>
            </w:r>
            <w:r>
              <w:rPr>
                <w:rFonts w:ascii="Times New Roman" w:eastAsia="方正楷体_GBK" w:hAnsi="Times New Roman" w:cs="方正楷体_GBK" w:hint="eastAsia"/>
                <w:kern w:val="0"/>
                <w:sz w:val="22"/>
              </w:rPr>
              <w:t>*100%</w:t>
            </w:r>
            <w:r>
              <w:rPr>
                <w:rFonts w:ascii="Times New Roman" w:eastAsia="方正楷体_GBK" w:hAnsi="Times New Roman" w:cs="方正楷体_GBK" w:hint="eastAsia"/>
                <w:kern w:val="0"/>
                <w:sz w:val="22"/>
              </w:rPr>
              <w:t>。在职人员数：部门实际在职人数。以财政部门确定的部门概算编制口径为准。</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编制数：机构编制部门核定批复的部门的人员编制数。</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评分规则：</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得分</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在职人员控制率</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分值。</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100%</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0.92</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proofErr w:type="gramStart"/>
            <w:r>
              <w:rPr>
                <w:rFonts w:ascii="Times New Roman" w:eastAsia="方正楷体_GBK" w:hAnsi="Times New Roman" w:cs="方正楷体_GBK" w:hint="eastAsia"/>
                <w:kern w:val="0"/>
                <w:sz w:val="22"/>
              </w:rPr>
              <w:t>南京市发改委</w:t>
            </w:r>
            <w:proofErr w:type="gramEnd"/>
            <w:r>
              <w:rPr>
                <w:rFonts w:ascii="Times New Roman" w:eastAsia="方正楷体_GBK" w:hAnsi="Times New Roman" w:cs="方正楷体_GBK" w:hint="eastAsia"/>
                <w:kern w:val="0"/>
                <w:sz w:val="22"/>
              </w:rPr>
              <w:t>（本</w:t>
            </w:r>
            <w:r>
              <w:rPr>
                <w:rFonts w:ascii="Times New Roman" w:eastAsia="方正楷体_GBK" w:hAnsi="Times New Roman" w:cs="方正楷体_GBK" w:hint="eastAsia"/>
                <w:kern w:val="0"/>
                <w:sz w:val="22"/>
              </w:rPr>
              <w:lastRenderedPageBreak/>
              <w:t>级）人员核定行政编制</w:t>
            </w:r>
            <w:r>
              <w:rPr>
                <w:rFonts w:ascii="Times New Roman" w:eastAsia="方正楷体_GBK" w:hAnsi="Times New Roman" w:cs="方正楷体_GBK" w:hint="eastAsia"/>
                <w:kern w:val="0"/>
                <w:sz w:val="22"/>
              </w:rPr>
              <w:t>218</w:t>
            </w:r>
            <w:r>
              <w:rPr>
                <w:rFonts w:ascii="Times New Roman" w:eastAsia="方正楷体_GBK" w:hAnsi="Times New Roman" w:cs="方正楷体_GBK" w:hint="eastAsia"/>
                <w:kern w:val="0"/>
                <w:sz w:val="22"/>
              </w:rPr>
              <w:t>人，</w:t>
            </w:r>
            <w:r>
              <w:rPr>
                <w:rFonts w:ascii="Times New Roman" w:eastAsia="方正楷体_GBK" w:hAnsi="Times New Roman" w:cs="方正楷体_GBK" w:hint="eastAsia"/>
                <w:kern w:val="0"/>
                <w:sz w:val="22"/>
              </w:rPr>
              <w:t>2025</w:t>
            </w:r>
            <w:r>
              <w:rPr>
                <w:rFonts w:ascii="Times New Roman" w:eastAsia="方正楷体_GBK" w:hAnsi="Times New Roman" w:cs="方正楷体_GBK" w:hint="eastAsia"/>
                <w:kern w:val="0"/>
                <w:sz w:val="22"/>
              </w:rPr>
              <w:t>年底实际在职机关行政人员</w:t>
            </w:r>
            <w:r>
              <w:rPr>
                <w:rFonts w:ascii="Times New Roman" w:eastAsia="方正楷体_GBK" w:hAnsi="Times New Roman" w:cs="方正楷体_GBK" w:hint="eastAsia"/>
                <w:kern w:val="0"/>
                <w:sz w:val="22"/>
              </w:rPr>
              <w:t>199</w:t>
            </w:r>
            <w:r>
              <w:rPr>
                <w:rFonts w:ascii="Times New Roman" w:eastAsia="方正楷体_GBK" w:hAnsi="Times New Roman" w:cs="方正楷体_GBK" w:hint="eastAsia"/>
                <w:kern w:val="0"/>
                <w:sz w:val="22"/>
              </w:rPr>
              <w:t>人。在职人员行政编制控制率</w:t>
            </w:r>
            <w:r>
              <w:rPr>
                <w:rFonts w:ascii="Times New Roman" w:eastAsia="方正楷体_GBK" w:hAnsi="Times New Roman" w:cs="方正楷体_GBK" w:hint="eastAsia"/>
                <w:kern w:val="0"/>
                <w:sz w:val="22"/>
              </w:rPr>
              <w:t>91.28%</w:t>
            </w:r>
            <w:r>
              <w:rPr>
                <w:rFonts w:ascii="Times New Roman" w:eastAsia="方正楷体_GBK" w:hAnsi="Times New Roman" w:cs="方正楷体_GBK" w:hint="eastAsia"/>
                <w:kern w:val="0"/>
                <w:sz w:val="22"/>
              </w:rPr>
              <w:t>。按照评分标准，扣</w:t>
            </w:r>
            <w:r>
              <w:rPr>
                <w:rFonts w:ascii="Times New Roman" w:eastAsia="方正楷体_GBK" w:hAnsi="Times New Roman" w:cs="方正楷体_GBK" w:hint="eastAsia"/>
                <w:kern w:val="0"/>
                <w:sz w:val="22"/>
              </w:rPr>
              <w:t>0.08</w:t>
            </w:r>
            <w:r>
              <w:rPr>
                <w:rFonts w:ascii="Times New Roman" w:eastAsia="方正楷体_GBK" w:hAnsi="Times New Roman" w:cs="方正楷体_GBK" w:hint="eastAsia"/>
                <w:kern w:val="0"/>
                <w:sz w:val="22"/>
              </w:rPr>
              <w:t>分。</w:t>
            </w:r>
          </w:p>
        </w:tc>
      </w:tr>
      <w:tr w:rsidR="001A79DF">
        <w:trPr>
          <w:trHeight w:val="23"/>
        </w:trPr>
        <w:tc>
          <w:tcPr>
            <w:tcW w:w="263" w:type="pct"/>
            <w:vMerge/>
            <w:tcBorders>
              <w:top w:val="nil"/>
              <w:left w:val="single" w:sz="4" w:space="0" w:color="auto"/>
              <w:bottom w:val="nil"/>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val="restart"/>
            <w:tcBorders>
              <w:top w:val="nil"/>
              <w:left w:val="single" w:sz="4" w:space="0" w:color="auto"/>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B6</w:t>
            </w:r>
            <w:r>
              <w:rPr>
                <w:rFonts w:ascii="Times New Roman" w:eastAsia="方正楷体_GBK" w:hAnsi="Times New Roman" w:cs="方正楷体_GBK" w:hint="eastAsia"/>
                <w:kern w:val="0"/>
                <w:sz w:val="22"/>
              </w:rPr>
              <w:t>机构建设与内控管理</w:t>
            </w: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B61</w:t>
            </w:r>
            <w:r>
              <w:rPr>
                <w:rFonts w:ascii="Times New Roman" w:eastAsia="方正楷体_GBK" w:hAnsi="Times New Roman" w:cs="方正楷体_GBK" w:hint="eastAsia"/>
                <w:kern w:val="0"/>
                <w:sz w:val="22"/>
              </w:rPr>
              <w:t>组织建设工作及时完成率</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部门为履行职责而实际及时完成的组织建设工作数与计划工作数的比率，用以反映</w:t>
            </w:r>
            <w:r>
              <w:rPr>
                <w:rFonts w:ascii="Times New Roman" w:eastAsia="方正楷体_GBK" w:hAnsi="Times New Roman" w:cs="方正楷体_GBK" w:hint="eastAsia"/>
                <w:kern w:val="0"/>
                <w:sz w:val="22"/>
              </w:rPr>
              <w:lastRenderedPageBreak/>
              <w:t>和考核部门组织建设工作完成情况。</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组织建设工作及时完成率</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（实际及时完成的组织建设工作</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计划工作数）</w:t>
            </w:r>
            <w:r>
              <w:rPr>
                <w:rFonts w:ascii="Times New Roman" w:eastAsia="方正楷体_GBK" w:hAnsi="Times New Roman" w:cs="方正楷体_GBK" w:hint="eastAsia"/>
                <w:kern w:val="0"/>
                <w:sz w:val="22"/>
              </w:rPr>
              <w:t>*100%</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评分规则：</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lastRenderedPageBreak/>
              <w:t>得分</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组织建设工作及时完成率</w:t>
            </w:r>
            <w:r>
              <w:rPr>
                <w:rFonts w:ascii="Times New Roman" w:eastAsia="方正楷体_GBK" w:hAnsi="Times New Roman" w:cs="方正楷体_GBK" w:hint="eastAsia"/>
                <w:kern w:val="0"/>
                <w:sz w:val="22"/>
              </w:rPr>
              <w:t>X</w:t>
            </w:r>
            <w:r>
              <w:rPr>
                <w:rFonts w:ascii="Times New Roman" w:eastAsia="方正楷体_GBK" w:hAnsi="Times New Roman" w:cs="方正楷体_GBK" w:hint="eastAsia"/>
                <w:kern w:val="0"/>
                <w:sz w:val="22"/>
              </w:rPr>
              <w:t>分值。</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100%</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组织建设工作计划能够及时完成。</w:t>
            </w:r>
          </w:p>
        </w:tc>
      </w:tr>
      <w:tr w:rsidR="001A79DF">
        <w:trPr>
          <w:trHeight w:val="23"/>
        </w:trPr>
        <w:tc>
          <w:tcPr>
            <w:tcW w:w="263" w:type="pct"/>
            <w:vMerge/>
            <w:tcBorders>
              <w:top w:val="nil"/>
              <w:left w:val="single" w:sz="4" w:space="0" w:color="auto"/>
              <w:bottom w:val="nil"/>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nil"/>
              <w:left w:val="single" w:sz="4" w:space="0" w:color="auto"/>
              <w:bottom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B63</w:t>
            </w:r>
            <w:r>
              <w:rPr>
                <w:rFonts w:ascii="Times New Roman" w:eastAsia="方正楷体_GBK" w:hAnsi="Times New Roman" w:cs="方正楷体_GBK" w:hint="eastAsia"/>
                <w:kern w:val="0"/>
                <w:sz w:val="22"/>
              </w:rPr>
              <w:t>纪检监察工作有效性</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部门为履行职责而开展的纪检监察工作有效性情况，用以反映和考核部门纪检监察工作对部门正常运行的保障作用。</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是否存在违纪违法行为。</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评分规则：</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每发生</w:t>
            </w:r>
            <w:r>
              <w:rPr>
                <w:rFonts w:ascii="Times New Roman" w:eastAsia="方正楷体_GBK" w:hAnsi="Times New Roman" w:cs="方正楷体_GBK" w:hint="eastAsia"/>
                <w:kern w:val="0"/>
                <w:sz w:val="22"/>
              </w:rPr>
              <w:t>1</w:t>
            </w:r>
            <w:r>
              <w:rPr>
                <w:rFonts w:ascii="Times New Roman" w:eastAsia="方正楷体_GBK" w:hAnsi="Times New Roman" w:cs="方正楷体_GBK" w:hint="eastAsia"/>
                <w:kern w:val="0"/>
                <w:sz w:val="22"/>
              </w:rPr>
              <w:t>次违纪行为，扣权重分；发生违法行为，直接得</w:t>
            </w:r>
            <w:r>
              <w:rPr>
                <w:rFonts w:ascii="Times New Roman" w:eastAsia="方正楷体_GBK" w:hAnsi="Times New Roman" w:cs="方正楷体_GBK" w:hint="eastAsia"/>
                <w:kern w:val="0"/>
                <w:sz w:val="22"/>
              </w:rPr>
              <w:t>0</w:t>
            </w:r>
            <w:r>
              <w:rPr>
                <w:rFonts w:ascii="Times New Roman" w:eastAsia="方正楷体_GBK" w:hAnsi="Times New Roman" w:cs="方正楷体_GBK" w:hint="eastAsia"/>
                <w:kern w:val="0"/>
                <w:sz w:val="22"/>
              </w:rPr>
              <w:t>分。</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有效</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部门纪检监察工作有效。</w:t>
            </w:r>
          </w:p>
        </w:tc>
      </w:tr>
      <w:tr w:rsidR="001A79DF">
        <w:trPr>
          <w:trHeight w:val="23"/>
        </w:trPr>
        <w:tc>
          <w:tcPr>
            <w:tcW w:w="263" w:type="pct"/>
            <w:vMerge w:val="restart"/>
            <w:tcBorders>
              <w:top w:val="single" w:sz="4" w:space="0" w:color="auto"/>
              <w:left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C</w:t>
            </w:r>
            <w:r>
              <w:rPr>
                <w:rFonts w:ascii="Times New Roman" w:eastAsia="方正楷体_GBK" w:hAnsi="Times New Roman" w:cs="方正楷体_GBK" w:hint="eastAsia"/>
                <w:kern w:val="0"/>
                <w:sz w:val="22"/>
              </w:rPr>
              <w:t>产出</w:t>
            </w:r>
          </w:p>
        </w:tc>
        <w:tc>
          <w:tcPr>
            <w:tcW w:w="321" w:type="pct"/>
            <w:vMerge w:val="restart"/>
            <w:tcBorders>
              <w:top w:val="nil"/>
              <w:left w:val="single" w:sz="4" w:space="0" w:color="auto"/>
              <w:bottom w:val="nil"/>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C1</w:t>
            </w:r>
            <w:r>
              <w:rPr>
                <w:rFonts w:ascii="Times New Roman" w:eastAsia="方正楷体_GBK" w:hAnsi="Times New Roman" w:cs="方正楷体_GBK" w:hint="eastAsia"/>
                <w:kern w:val="0"/>
                <w:sz w:val="22"/>
              </w:rPr>
              <w:t>经济发展与评价</w:t>
            </w:r>
          </w:p>
        </w:tc>
        <w:tc>
          <w:tcPr>
            <w:tcW w:w="49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C11</w:t>
            </w:r>
            <w:r>
              <w:rPr>
                <w:rFonts w:ascii="Times New Roman" w:eastAsia="方正楷体_GBK" w:hAnsi="Times New Roman" w:cs="方正楷体_GBK" w:hint="eastAsia"/>
                <w:kern w:val="0"/>
                <w:sz w:val="22"/>
              </w:rPr>
              <w:t>固定资产投资项目节能评审数</w:t>
            </w:r>
          </w:p>
        </w:tc>
        <w:tc>
          <w:tcPr>
            <w:tcW w:w="795"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考核固定资产投资项目节能评审数情况</w:t>
            </w:r>
          </w:p>
        </w:tc>
        <w:tc>
          <w:tcPr>
            <w:tcW w:w="163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固定资产投资项目节能评审数是否完成年度计划数。</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评分规则：</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固定资产投资项目节能评审</w:t>
            </w:r>
            <w:proofErr w:type="gramStart"/>
            <w:r>
              <w:rPr>
                <w:rFonts w:ascii="Times New Roman" w:eastAsia="方正楷体_GBK" w:hAnsi="Times New Roman" w:cs="方正楷体_GBK" w:hint="eastAsia"/>
                <w:kern w:val="0"/>
                <w:sz w:val="22"/>
              </w:rPr>
              <w:t>数完成</w:t>
            </w:r>
            <w:proofErr w:type="gramEnd"/>
            <w:r>
              <w:rPr>
                <w:rFonts w:ascii="Times New Roman" w:eastAsia="方正楷体_GBK" w:hAnsi="Times New Roman" w:cs="方正楷体_GBK" w:hint="eastAsia"/>
                <w:kern w:val="0"/>
                <w:sz w:val="22"/>
              </w:rPr>
              <w:t>目标值</w:t>
            </w:r>
            <w:r>
              <w:rPr>
                <w:rFonts w:ascii="Times New Roman" w:eastAsia="方正楷体_GBK" w:hAnsi="Times New Roman" w:cs="方正楷体_GBK"/>
                <w:kern w:val="0"/>
                <w:sz w:val="22"/>
              </w:rPr>
              <w:t>15</w:t>
            </w:r>
            <w:r>
              <w:rPr>
                <w:rFonts w:ascii="Times New Roman" w:eastAsia="方正楷体_GBK" w:hAnsi="Times New Roman" w:cs="方正楷体_GBK" w:hint="eastAsia"/>
                <w:kern w:val="0"/>
                <w:sz w:val="22"/>
              </w:rPr>
              <w:t>得满分，否则按比例扣分。</w:t>
            </w:r>
          </w:p>
        </w:tc>
        <w:tc>
          <w:tcPr>
            <w:tcW w:w="277"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w:t>
            </w:r>
            <w:r>
              <w:rPr>
                <w:rFonts w:ascii="Times New Roman" w:eastAsia="方正楷体_GBK" w:hAnsi="Times New Roman" w:cs="方正楷体_GBK"/>
                <w:kern w:val="0"/>
                <w:sz w:val="22"/>
              </w:rPr>
              <w:t>15</w:t>
            </w:r>
          </w:p>
        </w:tc>
        <w:tc>
          <w:tcPr>
            <w:tcW w:w="26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26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691"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固定资产投资项目节能评审数</w:t>
            </w:r>
            <w:r>
              <w:rPr>
                <w:rFonts w:ascii="Times New Roman" w:eastAsia="方正楷体_GBK" w:hAnsi="Times New Roman" w:cs="方正楷体_GBK"/>
                <w:kern w:val="0"/>
                <w:sz w:val="22"/>
              </w:rPr>
              <w:t>15</w:t>
            </w:r>
            <w:r>
              <w:rPr>
                <w:rFonts w:ascii="Times New Roman" w:eastAsia="方正楷体_GBK" w:hAnsi="Times New Roman" w:cs="方正楷体_GBK" w:hint="eastAsia"/>
                <w:kern w:val="0"/>
                <w:sz w:val="22"/>
              </w:rPr>
              <w:t>个。</w:t>
            </w:r>
          </w:p>
        </w:tc>
      </w:tr>
      <w:tr w:rsidR="001A79DF">
        <w:trPr>
          <w:trHeight w:val="23"/>
        </w:trPr>
        <w:tc>
          <w:tcPr>
            <w:tcW w:w="263" w:type="pct"/>
            <w:vMerge/>
            <w:tcBorders>
              <w:left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nil"/>
              <w:left w:val="single" w:sz="4" w:space="0" w:color="auto"/>
              <w:bottom w:val="nil"/>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C12</w:t>
            </w:r>
            <w:r>
              <w:rPr>
                <w:rFonts w:ascii="Times New Roman" w:eastAsia="方正楷体_GBK" w:hAnsi="Times New Roman" w:cs="方正楷体_GBK" w:hint="eastAsia"/>
                <w:kern w:val="0"/>
                <w:sz w:val="22"/>
              </w:rPr>
              <w:t>完成竣工验收项目数</w:t>
            </w:r>
          </w:p>
        </w:tc>
        <w:tc>
          <w:tcPr>
            <w:tcW w:w="795"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考核完成竣工验收项目数情况</w:t>
            </w:r>
          </w:p>
        </w:tc>
        <w:tc>
          <w:tcPr>
            <w:tcW w:w="163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完成竣工验收项目数是否完成年度计划数。</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评分规则：</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完成竣工验收项目数</w:t>
            </w:r>
            <w:r>
              <w:rPr>
                <w:rFonts w:ascii="Times New Roman" w:eastAsia="方正楷体_GBK" w:hAnsi="Times New Roman" w:cs="方正楷体_GBK"/>
                <w:kern w:val="0"/>
                <w:sz w:val="22"/>
              </w:rPr>
              <w:t>5</w:t>
            </w:r>
            <w:r>
              <w:rPr>
                <w:rFonts w:ascii="Times New Roman" w:eastAsia="方正楷体_GBK" w:hAnsi="Times New Roman" w:cs="方正楷体_GBK" w:hint="eastAsia"/>
                <w:kern w:val="0"/>
                <w:sz w:val="22"/>
              </w:rPr>
              <w:t>个以上得满分，否则按比例扣分。</w:t>
            </w:r>
          </w:p>
        </w:tc>
        <w:tc>
          <w:tcPr>
            <w:tcW w:w="277"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w:t>
            </w:r>
            <w:r>
              <w:rPr>
                <w:rFonts w:ascii="Times New Roman" w:eastAsia="方正楷体_GBK" w:hAnsi="Times New Roman" w:cs="方正楷体_GBK"/>
                <w:kern w:val="0"/>
                <w:sz w:val="22"/>
              </w:rPr>
              <w:t>5</w:t>
            </w:r>
          </w:p>
        </w:tc>
        <w:tc>
          <w:tcPr>
            <w:tcW w:w="26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26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kern w:val="0"/>
                <w:sz w:val="22"/>
              </w:rPr>
              <w:t>1.2</w:t>
            </w:r>
          </w:p>
        </w:tc>
        <w:tc>
          <w:tcPr>
            <w:tcW w:w="691"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完成竣工验收项目数</w:t>
            </w:r>
            <w:r>
              <w:rPr>
                <w:rFonts w:ascii="Times New Roman" w:eastAsia="方正楷体_GBK" w:hAnsi="Times New Roman" w:cs="方正楷体_GBK"/>
                <w:kern w:val="0"/>
                <w:sz w:val="22"/>
              </w:rPr>
              <w:t>3</w:t>
            </w:r>
            <w:r>
              <w:rPr>
                <w:rFonts w:ascii="Times New Roman" w:eastAsia="方正楷体_GBK" w:hAnsi="Times New Roman" w:cs="方正楷体_GBK" w:hint="eastAsia"/>
                <w:kern w:val="0"/>
                <w:sz w:val="22"/>
              </w:rPr>
              <w:t>个，扣</w:t>
            </w:r>
            <w:r>
              <w:rPr>
                <w:rFonts w:ascii="Times New Roman" w:eastAsia="方正楷体_GBK" w:hAnsi="Times New Roman" w:cs="方正楷体_GBK"/>
                <w:kern w:val="0"/>
                <w:sz w:val="22"/>
              </w:rPr>
              <w:t>0.8</w:t>
            </w:r>
            <w:r>
              <w:rPr>
                <w:rFonts w:ascii="Times New Roman" w:eastAsia="方正楷体_GBK" w:hAnsi="Times New Roman" w:cs="方正楷体_GBK" w:hint="eastAsia"/>
                <w:kern w:val="0"/>
                <w:sz w:val="22"/>
              </w:rPr>
              <w:t>分。</w:t>
            </w:r>
          </w:p>
        </w:tc>
      </w:tr>
      <w:tr w:rsidR="001A79DF">
        <w:trPr>
          <w:trHeight w:val="23"/>
        </w:trPr>
        <w:tc>
          <w:tcPr>
            <w:tcW w:w="263" w:type="pct"/>
            <w:vMerge/>
            <w:tcBorders>
              <w:left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nil"/>
              <w:left w:val="single" w:sz="4" w:space="0" w:color="auto"/>
              <w:bottom w:val="nil"/>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C13</w:t>
            </w:r>
            <w:r>
              <w:rPr>
                <w:rFonts w:ascii="Times New Roman" w:eastAsia="方正楷体_GBK" w:hAnsi="Times New Roman" w:cs="方正楷体_GBK" w:hint="eastAsia"/>
                <w:kern w:val="0"/>
                <w:sz w:val="22"/>
              </w:rPr>
              <w:t>举办“双碳”相关活动次数</w:t>
            </w:r>
          </w:p>
        </w:tc>
        <w:tc>
          <w:tcPr>
            <w:tcW w:w="795"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考核举办“双碳”相关活动次数情况</w:t>
            </w:r>
          </w:p>
        </w:tc>
        <w:tc>
          <w:tcPr>
            <w:tcW w:w="163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举办“双碳”相关活动是否完成年度计划数。</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评分规则：</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举办</w:t>
            </w:r>
            <w:r>
              <w:rPr>
                <w:rFonts w:ascii="Times New Roman" w:eastAsia="方正楷体_GBK" w:hAnsi="Times New Roman" w:cs="方正楷体_GBK" w:hint="eastAsia"/>
                <w:kern w:val="0"/>
                <w:sz w:val="22"/>
              </w:rPr>
              <w:t>1</w:t>
            </w:r>
            <w:r>
              <w:rPr>
                <w:rFonts w:ascii="Times New Roman" w:eastAsia="方正楷体_GBK" w:hAnsi="Times New Roman" w:cs="方正楷体_GBK" w:hint="eastAsia"/>
                <w:kern w:val="0"/>
                <w:sz w:val="22"/>
              </w:rPr>
              <w:t>次“双碳”相关活动得满分，否则不得分。</w:t>
            </w:r>
          </w:p>
        </w:tc>
        <w:tc>
          <w:tcPr>
            <w:tcW w:w="277"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完成</w:t>
            </w:r>
          </w:p>
        </w:tc>
        <w:tc>
          <w:tcPr>
            <w:tcW w:w="26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26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691"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举办了</w:t>
            </w:r>
            <w:r>
              <w:rPr>
                <w:rFonts w:ascii="Times New Roman" w:eastAsia="方正楷体_GBK" w:hAnsi="Times New Roman" w:cs="方正楷体_GBK" w:hint="eastAsia"/>
                <w:kern w:val="0"/>
                <w:sz w:val="22"/>
              </w:rPr>
              <w:t>1</w:t>
            </w:r>
            <w:r>
              <w:rPr>
                <w:rFonts w:ascii="Times New Roman" w:eastAsia="方正楷体_GBK" w:hAnsi="Times New Roman" w:cs="方正楷体_GBK" w:hint="eastAsia"/>
                <w:kern w:val="0"/>
                <w:sz w:val="22"/>
              </w:rPr>
              <w:t>次“双碳”相关活动。</w:t>
            </w:r>
          </w:p>
        </w:tc>
      </w:tr>
      <w:tr w:rsidR="001A79DF">
        <w:trPr>
          <w:trHeight w:val="23"/>
        </w:trPr>
        <w:tc>
          <w:tcPr>
            <w:tcW w:w="263" w:type="pct"/>
            <w:vMerge/>
            <w:tcBorders>
              <w:left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C2</w:t>
            </w:r>
            <w:r>
              <w:rPr>
                <w:rFonts w:ascii="Times New Roman" w:eastAsia="方正楷体_GBK" w:hAnsi="Times New Roman" w:cs="方正楷体_GBK" w:hint="eastAsia"/>
                <w:kern w:val="0"/>
                <w:sz w:val="22"/>
              </w:rPr>
              <w:t>社会民生发展研究</w:t>
            </w:r>
          </w:p>
        </w:tc>
        <w:tc>
          <w:tcPr>
            <w:tcW w:w="49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C21</w:t>
            </w:r>
            <w:r>
              <w:rPr>
                <w:rFonts w:ascii="Times New Roman" w:eastAsia="方正楷体_GBK" w:hAnsi="Times New Roman" w:cs="方正楷体_GBK" w:hint="eastAsia"/>
                <w:kern w:val="0"/>
                <w:sz w:val="22"/>
              </w:rPr>
              <w:t>形成调研报告、经济形势分析数量</w:t>
            </w:r>
          </w:p>
        </w:tc>
        <w:tc>
          <w:tcPr>
            <w:tcW w:w="795" w:type="pct"/>
            <w:tcBorders>
              <w:top w:val="nil"/>
              <w:left w:val="nil"/>
              <w:bottom w:val="nil"/>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考察形成调研报告、经济形势分析数量情况</w:t>
            </w:r>
          </w:p>
        </w:tc>
        <w:tc>
          <w:tcPr>
            <w:tcW w:w="163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评价要点：形成调研报告、经济形势分析报告是否完成年度计划数。</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评分规则：</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形成</w:t>
            </w:r>
            <w:r>
              <w:rPr>
                <w:rFonts w:ascii="Times New Roman" w:eastAsia="方正楷体_GBK" w:hAnsi="Times New Roman" w:cs="方正楷体_GBK" w:hint="eastAsia"/>
                <w:kern w:val="0"/>
                <w:sz w:val="22"/>
              </w:rPr>
              <w:t>10</w:t>
            </w:r>
            <w:r>
              <w:rPr>
                <w:rFonts w:ascii="Times New Roman" w:eastAsia="方正楷体_GBK" w:hAnsi="Times New Roman" w:cs="方正楷体_GBK" w:hint="eastAsia"/>
                <w:kern w:val="0"/>
                <w:sz w:val="22"/>
              </w:rPr>
              <w:t>篇调研报告、经济形势分析满分，否则按比例扣分。</w:t>
            </w:r>
          </w:p>
        </w:tc>
        <w:tc>
          <w:tcPr>
            <w:tcW w:w="277"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10</w:t>
            </w:r>
            <w:r>
              <w:rPr>
                <w:rFonts w:ascii="Times New Roman" w:eastAsia="方正楷体_GBK" w:hAnsi="Times New Roman" w:cs="方正楷体_GBK" w:hint="eastAsia"/>
                <w:kern w:val="0"/>
                <w:sz w:val="22"/>
              </w:rPr>
              <w:t>篇</w:t>
            </w:r>
          </w:p>
        </w:tc>
        <w:tc>
          <w:tcPr>
            <w:tcW w:w="26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26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691"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完成经济形势分析报告</w:t>
            </w:r>
            <w:r>
              <w:rPr>
                <w:rFonts w:ascii="Times New Roman" w:eastAsia="方正楷体_GBK" w:hAnsi="Times New Roman" w:cs="方正楷体_GBK" w:hint="eastAsia"/>
                <w:kern w:val="0"/>
                <w:sz w:val="22"/>
              </w:rPr>
              <w:t>50</w:t>
            </w:r>
            <w:r>
              <w:rPr>
                <w:rFonts w:ascii="Times New Roman" w:eastAsia="方正楷体_GBK" w:hAnsi="Times New Roman" w:cs="方正楷体_GBK" w:hint="eastAsia"/>
                <w:kern w:val="0"/>
                <w:sz w:val="22"/>
              </w:rPr>
              <w:t>篇。</w:t>
            </w:r>
          </w:p>
        </w:tc>
      </w:tr>
      <w:tr w:rsidR="001A79DF">
        <w:trPr>
          <w:trHeight w:val="23"/>
        </w:trPr>
        <w:tc>
          <w:tcPr>
            <w:tcW w:w="263" w:type="pct"/>
            <w:vMerge/>
            <w:tcBorders>
              <w:left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single" w:sz="4" w:space="0" w:color="auto"/>
              <w:left w:val="single" w:sz="4" w:space="0" w:color="auto"/>
              <w:bottom w:val="single" w:sz="4" w:space="0" w:color="000000"/>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C22</w:t>
            </w:r>
            <w:r>
              <w:rPr>
                <w:rFonts w:ascii="Times New Roman" w:eastAsia="方正楷体_GBK" w:hAnsi="Times New Roman" w:cs="方正楷体_GBK" w:hint="eastAsia"/>
                <w:kern w:val="0"/>
                <w:sz w:val="22"/>
              </w:rPr>
              <w:t>获</w:t>
            </w:r>
            <w:proofErr w:type="gramStart"/>
            <w:r>
              <w:rPr>
                <w:rFonts w:ascii="Times New Roman" w:eastAsia="方正楷体_GBK" w:hAnsi="Times New Roman" w:cs="方正楷体_GBK" w:hint="eastAsia"/>
                <w:kern w:val="0"/>
                <w:sz w:val="22"/>
              </w:rPr>
              <w:t>省发改</w:t>
            </w:r>
            <w:proofErr w:type="gramEnd"/>
            <w:r>
              <w:rPr>
                <w:rFonts w:ascii="Times New Roman" w:eastAsia="方正楷体_GBK" w:hAnsi="Times New Roman" w:cs="方正楷体_GBK" w:hint="eastAsia"/>
                <w:kern w:val="0"/>
                <w:sz w:val="22"/>
              </w:rPr>
              <w:t>委刊登篇数</w:t>
            </w:r>
          </w:p>
        </w:tc>
        <w:tc>
          <w:tcPr>
            <w:tcW w:w="795" w:type="pct"/>
            <w:tcBorders>
              <w:top w:val="single" w:sz="4" w:space="0" w:color="auto"/>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考核获</w:t>
            </w:r>
            <w:proofErr w:type="gramStart"/>
            <w:r>
              <w:rPr>
                <w:rFonts w:ascii="Times New Roman" w:eastAsia="方正楷体_GBK" w:hAnsi="Times New Roman" w:cs="方正楷体_GBK" w:hint="eastAsia"/>
                <w:kern w:val="0"/>
                <w:sz w:val="22"/>
              </w:rPr>
              <w:t>省发改</w:t>
            </w:r>
            <w:proofErr w:type="gramEnd"/>
            <w:r>
              <w:rPr>
                <w:rFonts w:ascii="Times New Roman" w:eastAsia="方正楷体_GBK" w:hAnsi="Times New Roman" w:cs="方正楷体_GBK" w:hint="eastAsia"/>
                <w:kern w:val="0"/>
                <w:sz w:val="22"/>
              </w:rPr>
              <w:t>委刊登情况</w:t>
            </w:r>
          </w:p>
        </w:tc>
        <w:tc>
          <w:tcPr>
            <w:tcW w:w="163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获得省级以上刊登的各项社会民生发展研究报告是否完成年度计划数。</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评分规则：</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获得省级以上刊登的各项社会民生发展研究报告</w:t>
            </w:r>
            <w:r>
              <w:rPr>
                <w:rFonts w:ascii="Times New Roman" w:eastAsia="方正楷体_GBK" w:hAnsi="Times New Roman" w:cs="方正楷体_GBK" w:hint="eastAsia"/>
                <w:kern w:val="0"/>
                <w:sz w:val="22"/>
              </w:rPr>
              <w:t>2</w:t>
            </w:r>
            <w:r>
              <w:rPr>
                <w:rFonts w:ascii="Times New Roman" w:eastAsia="方正楷体_GBK" w:hAnsi="Times New Roman" w:cs="方正楷体_GBK" w:hint="eastAsia"/>
                <w:kern w:val="0"/>
                <w:sz w:val="22"/>
              </w:rPr>
              <w:t>篇得满分，否则按比例扣分。</w:t>
            </w:r>
          </w:p>
        </w:tc>
        <w:tc>
          <w:tcPr>
            <w:tcW w:w="277"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2</w:t>
            </w:r>
            <w:r>
              <w:rPr>
                <w:rFonts w:ascii="Times New Roman" w:eastAsia="方正楷体_GBK" w:hAnsi="Times New Roman" w:cs="方正楷体_GBK" w:hint="eastAsia"/>
                <w:kern w:val="0"/>
                <w:sz w:val="22"/>
              </w:rPr>
              <w:t>篇</w:t>
            </w:r>
          </w:p>
        </w:tc>
        <w:tc>
          <w:tcPr>
            <w:tcW w:w="26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26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691"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获得省级以上刊登的各项社会民生发展研究报告</w:t>
            </w:r>
            <w:r>
              <w:rPr>
                <w:rFonts w:ascii="Times New Roman" w:eastAsia="方正楷体_GBK" w:hAnsi="Times New Roman" w:cs="方正楷体_GBK" w:hint="eastAsia"/>
                <w:kern w:val="0"/>
                <w:sz w:val="22"/>
              </w:rPr>
              <w:t>2</w:t>
            </w:r>
            <w:r>
              <w:rPr>
                <w:rFonts w:ascii="Times New Roman" w:eastAsia="方正楷体_GBK" w:hAnsi="Times New Roman" w:cs="方正楷体_GBK" w:hint="eastAsia"/>
                <w:kern w:val="0"/>
                <w:sz w:val="22"/>
              </w:rPr>
              <w:t>篇。</w:t>
            </w:r>
          </w:p>
        </w:tc>
      </w:tr>
      <w:tr w:rsidR="001A79DF">
        <w:trPr>
          <w:trHeight w:val="23"/>
        </w:trPr>
        <w:tc>
          <w:tcPr>
            <w:tcW w:w="263" w:type="pct"/>
            <w:vMerge/>
            <w:tcBorders>
              <w:left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single" w:sz="4" w:space="0" w:color="auto"/>
              <w:left w:val="single" w:sz="4" w:space="0" w:color="auto"/>
              <w:bottom w:val="single" w:sz="4" w:space="0" w:color="000000"/>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C23</w:t>
            </w:r>
            <w:r>
              <w:rPr>
                <w:rFonts w:ascii="Times New Roman" w:eastAsia="方正楷体_GBK" w:hAnsi="Times New Roman" w:cs="方正楷体_GBK" w:hint="eastAsia"/>
                <w:kern w:val="0"/>
                <w:sz w:val="22"/>
              </w:rPr>
              <w:t>形成民</w:t>
            </w:r>
            <w:r>
              <w:rPr>
                <w:rFonts w:ascii="Times New Roman" w:eastAsia="方正楷体_GBK" w:hAnsi="Times New Roman" w:cs="方正楷体_GBK" w:hint="eastAsia"/>
                <w:kern w:val="0"/>
                <w:sz w:val="22"/>
              </w:rPr>
              <w:lastRenderedPageBreak/>
              <w:t>生实事候选项目数</w:t>
            </w:r>
          </w:p>
        </w:tc>
        <w:tc>
          <w:tcPr>
            <w:tcW w:w="795"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考核形成民生实事候</w:t>
            </w:r>
            <w:r>
              <w:rPr>
                <w:rFonts w:ascii="Times New Roman" w:eastAsia="方正楷体_GBK" w:hAnsi="Times New Roman" w:cs="方正楷体_GBK" w:hint="eastAsia"/>
                <w:kern w:val="0"/>
                <w:sz w:val="22"/>
              </w:rPr>
              <w:lastRenderedPageBreak/>
              <w:t>选项目情况</w:t>
            </w:r>
          </w:p>
        </w:tc>
        <w:tc>
          <w:tcPr>
            <w:tcW w:w="163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形成民生实事候选项目是否完成年度计划数。</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评分规则：</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形成民生实事候选项目</w:t>
            </w:r>
            <w:r>
              <w:rPr>
                <w:rFonts w:ascii="Times New Roman" w:eastAsia="方正楷体_GBK" w:hAnsi="Times New Roman" w:cs="方正楷体_GBK" w:hint="eastAsia"/>
                <w:kern w:val="0"/>
                <w:sz w:val="22"/>
              </w:rPr>
              <w:t>40</w:t>
            </w:r>
            <w:r>
              <w:rPr>
                <w:rFonts w:ascii="Times New Roman" w:eastAsia="方正楷体_GBK" w:hAnsi="Times New Roman" w:cs="方正楷体_GBK" w:hint="eastAsia"/>
                <w:kern w:val="0"/>
                <w:sz w:val="22"/>
              </w:rPr>
              <w:t>个以上得满分，否则按比例扣分。</w:t>
            </w:r>
          </w:p>
        </w:tc>
        <w:tc>
          <w:tcPr>
            <w:tcW w:w="277"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w:t>
            </w:r>
            <w:r>
              <w:rPr>
                <w:rFonts w:ascii="Times New Roman" w:eastAsia="方正楷体_GBK" w:hAnsi="Times New Roman" w:cs="方正楷体_GBK" w:hint="eastAsia"/>
                <w:kern w:val="0"/>
                <w:sz w:val="22"/>
              </w:rPr>
              <w:t>40</w:t>
            </w:r>
            <w:r>
              <w:rPr>
                <w:rFonts w:ascii="Times New Roman" w:eastAsia="方正楷体_GBK" w:hAnsi="Times New Roman" w:cs="方正楷体_GBK" w:hint="eastAsia"/>
                <w:kern w:val="0"/>
                <w:sz w:val="22"/>
              </w:rPr>
              <w:lastRenderedPageBreak/>
              <w:t>个</w:t>
            </w:r>
          </w:p>
        </w:tc>
        <w:tc>
          <w:tcPr>
            <w:tcW w:w="26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2</w:t>
            </w:r>
          </w:p>
        </w:tc>
        <w:tc>
          <w:tcPr>
            <w:tcW w:w="26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691"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制定社会民生实</w:t>
            </w:r>
            <w:r>
              <w:rPr>
                <w:rFonts w:ascii="Times New Roman" w:eastAsia="方正楷体_GBK" w:hAnsi="Times New Roman" w:cs="方正楷体_GBK" w:hint="eastAsia"/>
                <w:kern w:val="0"/>
                <w:sz w:val="22"/>
              </w:rPr>
              <w:lastRenderedPageBreak/>
              <w:t>事候选项目</w:t>
            </w:r>
            <w:r>
              <w:rPr>
                <w:rFonts w:ascii="Times New Roman" w:eastAsia="方正楷体_GBK" w:hAnsi="Times New Roman" w:cs="方正楷体_GBK" w:hint="eastAsia"/>
                <w:kern w:val="0"/>
                <w:sz w:val="22"/>
              </w:rPr>
              <w:t>45</w:t>
            </w:r>
            <w:r>
              <w:rPr>
                <w:rFonts w:ascii="Times New Roman" w:eastAsia="方正楷体_GBK" w:hAnsi="Times New Roman" w:cs="方正楷体_GBK" w:hint="eastAsia"/>
                <w:kern w:val="0"/>
                <w:sz w:val="22"/>
              </w:rPr>
              <w:t>个。</w:t>
            </w:r>
          </w:p>
        </w:tc>
      </w:tr>
      <w:tr w:rsidR="001A79DF">
        <w:trPr>
          <w:trHeight w:val="23"/>
        </w:trPr>
        <w:tc>
          <w:tcPr>
            <w:tcW w:w="263" w:type="pct"/>
            <w:vMerge/>
            <w:tcBorders>
              <w:left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val="restart"/>
            <w:tcBorders>
              <w:top w:val="nil"/>
              <w:left w:val="single" w:sz="4" w:space="0" w:color="auto"/>
              <w:bottom w:val="nil"/>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C3</w:t>
            </w:r>
            <w:r>
              <w:rPr>
                <w:rFonts w:ascii="Times New Roman" w:eastAsia="方正楷体_GBK" w:hAnsi="Times New Roman" w:cs="方正楷体_GBK" w:hint="eastAsia"/>
                <w:kern w:val="0"/>
                <w:sz w:val="22"/>
              </w:rPr>
              <w:t>区域协调发展</w:t>
            </w:r>
          </w:p>
        </w:tc>
        <w:tc>
          <w:tcPr>
            <w:tcW w:w="49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C31</w:t>
            </w:r>
            <w:r>
              <w:rPr>
                <w:rFonts w:ascii="Times New Roman" w:eastAsia="方正楷体_GBK" w:hAnsi="Times New Roman" w:cs="方正楷体_GBK" w:hint="eastAsia"/>
                <w:kern w:val="0"/>
                <w:sz w:val="22"/>
              </w:rPr>
              <w:t>对口支援检查及开展活动次数</w:t>
            </w:r>
          </w:p>
        </w:tc>
        <w:tc>
          <w:tcPr>
            <w:tcW w:w="795"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考核对口支援工作完成情况</w:t>
            </w:r>
          </w:p>
        </w:tc>
        <w:tc>
          <w:tcPr>
            <w:tcW w:w="163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开展西部行及赴结对地区督查是否完成年度计划数。</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评分规则：</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开展西部行及赴结对地区督查</w:t>
            </w:r>
            <w:r>
              <w:rPr>
                <w:rFonts w:ascii="Times New Roman" w:eastAsia="方正楷体_GBK" w:hAnsi="Times New Roman" w:cs="方正楷体_GBK" w:hint="eastAsia"/>
                <w:kern w:val="0"/>
                <w:sz w:val="22"/>
              </w:rPr>
              <w:t>9</w:t>
            </w:r>
            <w:r>
              <w:rPr>
                <w:rFonts w:ascii="Times New Roman" w:eastAsia="方正楷体_GBK" w:hAnsi="Times New Roman" w:cs="方正楷体_GBK" w:hint="eastAsia"/>
                <w:kern w:val="0"/>
                <w:sz w:val="22"/>
              </w:rPr>
              <w:t>次以上得满分，否则按比例扣分</w:t>
            </w:r>
          </w:p>
        </w:tc>
        <w:tc>
          <w:tcPr>
            <w:tcW w:w="277"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9</w:t>
            </w:r>
            <w:r>
              <w:rPr>
                <w:rFonts w:ascii="Times New Roman" w:eastAsia="方正楷体_GBK" w:hAnsi="Times New Roman" w:cs="方正楷体_GBK" w:hint="eastAsia"/>
                <w:kern w:val="0"/>
                <w:sz w:val="22"/>
              </w:rPr>
              <w:t>次</w:t>
            </w:r>
          </w:p>
        </w:tc>
        <w:tc>
          <w:tcPr>
            <w:tcW w:w="26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3</w:t>
            </w:r>
          </w:p>
        </w:tc>
        <w:tc>
          <w:tcPr>
            <w:tcW w:w="26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3</w:t>
            </w:r>
          </w:p>
        </w:tc>
        <w:tc>
          <w:tcPr>
            <w:tcW w:w="691"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开展西部行及赴结对地区督查</w:t>
            </w:r>
            <w:r>
              <w:rPr>
                <w:rFonts w:ascii="Times New Roman" w:eastAsia="方正楷体_GBK" w:hAnsi="Times New Roman" w:cs="方正楷体_GBK" w:hint="eastAsia"/>
                <w:kern w:val="0"/>
                <w:sz w:val="22"/>
              </w:rPr>
              <w:t>10</w:t>
            </w:r>
            <w:r>
              <w:rPr>
                <w:rFonts w:ascii="Times New Roman" w:eastAsia="方正楷体_GBK" w:hAnsi="Times New Roman" w:cs="方正楷体_GBK" w:hint="eastAsia"/>
                <w:kern w:val="0"/>
                <w:sz w:val="22"/>
              </w:rPr>
              <w:t>次。</w:t>
            </w:r>
          </w:p>
        </w:tc>
      </w:tr>
      <w:tr w:rsidR="001A79DF">
        <w:trPr>
          <w:trHeight w:val="23"/>
        </w:trPr>
        <w:tc>
          <w:tcPr>
            <w:tcW w:w="263" w:type="pct"/>
            <w:vMerge/>
            <w:tcBorders>
              <w:left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nil"/>
              <w:left w:val="single" w:sz="4" w:space="0" w:color="auto"/>
              <w:bottom w:val="nil"/>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C32</w:t>
            </w:r>
            <w:r>
              <w:rPr>
                <w:rFonts w:ascii="Times New Roman" w:eastAsia="方正楷体_GBK" w:hAnsi="Times New Roman" w:cs="方正楷体_GBK" w:hint="eastAsia"/>
                <w:kern w:val="0"/>
                <w:sz w:val="22"/>
              </w:rPr>
              <w:t>长江经济</w:t>
            </w:r>
            <w:proofErr w:type="gramStart"/>
            <w:r>
              <w:rPr>
                <w:rFonts w:ascii="Times New Roman" w:eastAsia="方正楷体_GBK" w:hAnsi="Times New Roman" w:cs="方正楷体_GBK" w:hint="eastAsia"/>
                <w:kern w:val="0"/>
                <w:sz w:val="22"/>
              </w:rPr>
              <w:t>带宣传</w:t>
            </w:r>
            <w:proofErr w:type="gramEnd"/>
            <w:r>
              <w:rPr>
                <w:rFonts w:ascii="Times New Roman" w:eastAsia="方正楷体_GBK" w:hAnsi="Times New Roman" w:cs="方正楷体_GBK" w:hint="eastAsia"/>
                <w:kern w:val="0"/>
                <w:sz w:val="22"/>
              </w:rPr>
              <w:t>活</w:t>
            </w:r>
            <w:r>
              <w:rPr>
                <w:rFonts w:ascii="Times New Roman" w:eastAsia="方正楷体_GBK" w:hAnsi="Times New Roman" w:cs="方正楷体_GBK" w:hint="eastAsia"/>
                <w:kern w:val="0"/>
                <w:sz w:val="22"/>
              </w:rPr>
              <w:lastRenderedPageBreak/>
              <w:t>动、</w:t>
            </w:r>
            <w:proofErr w:type="gramStart"/>
            <w:r>
              <w:rPr>
                <w:rFonts w:ascii="Times New Roman" w:eastAsia="方正楷体_GBK" w:hAnsi="Times New Roman" w:cs="方正楷体_GBK" w:hint="eastAsia"/>
                <w:kern w:val="0"/>
                <w:sz w:val="22"/>
              </w:rPr>
              <w:t>推文及</w:t>
            </w:r>
            <w:proofErr w:type="gramEnd"/>
            <w:r>
              <w:rPr>
                <w:rFonts w:ascii="Times New Roman" w:eastAsia="方正楷体_GBK" w:hAnsi="Times New Roman" w:cs="方正楷体_GBK" w:hint="eastAsia"/>
                <w:kern w:val="0"/>
                <w:sz w:val="22"/>
              </w:rPr>
              <w:t>报道</w:t>
            </w:r>
          </w:p>
        </w:tc>
        <w:tc>
          <w:tcPr>
            <w:tcW w:w="795"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考核长江经济带高质量发展工作宣传情况</w:t>
            </w:r>
          </w:p>
        </w:tc>
        <w:tc>
          <w:tcPr>
            <w:tcW w:w="163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发表长江经济带高质量发展宣传报告是否完成</w:t>
            </w:r>
            <w:r>
              <w:rPr>
                <w:rFonts w:ascii="Times New Roman" w:eastAsia="方正楷体_GBK" w:hAnsi="Times New Roman" w:cs="方正楷体_GBK" w:hint="eastAsia"/>
                <w:kern w:val="0"/>
                <w:sz w:val="22"/>
              </w:rPr>
              <w:lastRenderedPageBreak/>
              <w:t>年度计划数。</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评分规则：</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发表长江经济带高质量发展宣传报告</w:t>
            </w:r>
            <w:r>
              <w:rPr>
                <w:rFonts w:ascii="Times New Roman" w:eastAsia="方正楷体_GBK" w:hAnsi="Times New Roman" w:cs="方正楷体_GBK" w:hint="eastAsia"/>
                <w:kern w:val="0"/>
                <w:sz w:val="22"/>
              </w:rPr>
              <w:t>20</w:t>
            </w:r>
            <w:r>
              <w:rPr>
                <w:rFonts w:ascii="Times New Roman" w:eastAsia="方正楷体_GBK" w:hAnsi="Times New Roman" w:cs="方正楷体_GBK" w:hint="eastAsia"/>
                <w:kern w:val="0"/>
                <w:sz w:val="22"/>
              </w:rPr>
              <w:t>篇以上得满分，否则按比例扣分</w:t>
            </w:r>
          </w:p>
        </w:tc>
        <w:tc>
          <w:tcPr>
            <w:tcW w:w="277"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w:t>
            </w:r>
            <w:r>
              <w:rPr>
                <w:rFonts w:ascii="Times New Roman" w:eastAsia="方正楷体_GBK" w:hAnsi="Times New Roman" w:cs="方正楷体_GBK" w:hint="eastAsia"/>
                <w:kern w:val="0"/>
                <w:sz w:val="22"/>
              </w:rPr>
              <w:t>20</w:t>
            </w:r>
            <w:r>
              <w:rPr>
                <w:rFonts w:ascii="Times New Roman" w:eastAsia="方正楷体_GBK" w:hAnsi="Times New Roman" w:cs="方正楷体_GBK" w:hint="eastAsia"/>
                <w:kern w:val="0"/>
                <w:sz w:val="22"/>
              </w:rPr>
              <w:t>篇</w:t>
            </w:r>
          </w:p>
        </w:tc>
        <w:tc>
          <w:tcPr>
            <w:tcW w:w="26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3</w:t>
            </w:r>
          </w:p>
        </w:tc>
        <w:tc>
          <w:tcPr>
            <w:tcW w:w="26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3</w:t>
            </w:r>
          </w:p>
        </w:tc>
        <w:tc>
          <w:tcPr>
            <w:tcW w:w="691"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发表长江经济带高质量发展宣传</w:t>
            </w:r>
            <w:r>
              <w:rPr>
                <w:rFonts w:ascii="Times New Roman" w:eastAsia="方正楷体_GBK" w:hAnsi="Times New Roman" w:cs="方正楷体_GBK" w:hint="eastAsia"/>
                <w:kern w:val="0"/>
                <w:sz w:val="22"/>
              </w:rPr>
              <w:lastRenderedPageBreak/>
              <w:t>报告</w:t>
            </w:r>
            <w:r>
              <w:rPr>
                <w:rFonts w:ascii="Times New Roman" w:eastAsia="方正楷体_GBK" w:hAnsi="Times New Roman" w:cs="方正楷体_GBK" w:hint="eastAsia"/>
                <w:kern w:val="0"/>
                <w:sz w:val="22"/>
              </w:rPr>
              <w:t>20</w:t>
            </w:r>
            <w:r>
              <w:rPr>
                <w:rFonts w:ascii="Times New Roman" w:eastAsia="方正楷体_GBK" w:hAnsi="Times New Roman" w:cs="方正楷体_GBK" w:hint="eastAsia"/>
                <w:kern w:val="0"/>
                <w:sz w:val="22"/>
              </w:rPr>
              <w:t>篇。</w:t>
            </w:r>
          </w:p>
        </w:tc>
      </w:tr>
      <w:tr w:rsidR="001A79DF">
        <w:trPr>
          <w:trHeight w:val="23"/>
        </w:trPr>
        <w:tc>
          <w:tcPr>
            <w:tcW w:w="263" w:type="pct"/>
            <w:vMerge/>
            <w:tcBorders>
              <w:left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C4</w:t>
            </w:r>
            <w:r>
              <w:rPr>
                <w:rFonts w:ascii="Times New Roman" w:eastAsia="方正楷体_GBK" w:hAnsi="Times New Roman" w:cs="方正楷体_GBK" w:hint="eastAsia"/>
                <w:kern w:val="0"/>
                <w:sz w:val="22"/>
              </w:rPr>
              <w:t>社会信用体系建设</w:t>
            </w: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C41</w:t>
            </w:r>
            <w:r>
              <w:rPr>
                <w:rFonts w:ascii="Times New Roman" w:eastAsia="方正楷体_GBK" w:hAnsi="Times New Roman" w:cs="方正楷体_GBK" w:hint="eastAsia"/>
                <w:kern w:val="0"/>
                <w:sz w:val="22"/>
              </w:rPr>
              <w:t>企业信用评级报告抽查检验工作通过专家评审次数</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考核企业信用评级报告抽查检验工作通过专家评审情况</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评价要点：企业信用评级报告抽查检验工作通过专家评审是否完成年度计划数。</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评分规则：</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企业信用评级报告抽查检验工作通过专家评审</w:t>
            </w:r>
            <w:r>
              <w:rPr>
                <w:rFonts w:ascii="Times New Roman" w:eastAsia="方正楷体_GBK" w:hAnsi="Times New Roman" w:cs="方正楷体_GBK" w:hint="eastAsia"/>
                <w:kern w:val="0"/>
                <w:sz w:val="22"/>
              </w:rPr>
              <w:t>2</w:t>
            </w:r>
            <w:r>
              <w:rPr>
                <w:rFonts w:ascii="Times New Roman" w:eastAsia="方正楷体_GBK" w:hAnsi="Times New Roman" w:cs="方正楷体_GBK" w:hint="eastAsia"/>
                <w:kern w:val="0"/>
                <w:sz w:val="22"/>
              </w:rPr>
              <w:t>次以上得满分，否则按比例扣分。</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2</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根据预算要求，不再邀请专家评审，改由信用自行验收。</w:t>
            </w:r>
          </w:p>
        </w:tc>
      </w:tr>
      <w:tr w:rsidR="001A79DF">
        <w:trPr>
          <w:trHeight w:val="23"/>
        </w:trPr>
        <w:tc>
          <w:tcPr>
            <w:tcW w:w="263" w:type="pct"/>
            <w:vMerge/>
            <w:tcBorders>
              <w:left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single" w:sz="4" w:space="0" w:color="auto"/>
              <w:left w:val="single" w:sz="4" w:space="0" w:color="auto"/>
              <w:bottom w:val="single" w:sz="4" w:space="0" w:color="000000"/>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C42</w:t>
            </w:r>
            <w:r>
              <w:rPr>
                <w:rFonts w:ascii="Times New Roman" w:eastAsia="方正楷体_GBK" w:hAnsi="Times New Roman" w:cs="方正楷体_GBK" w:hint="eastAsia"/>
                <w:kern w:val="0"/>
                <w:sz w:val="22"/>
              </w:rPr>
              <w:t>信用监测国家排名</w:t>
            </w:r>
          </w:p>
        </w:tc>
        <w:tc>
          <w:tcPr>
            <w:tcW w:w="795"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考核信用监测国家排名情况</w:t>
            </w:r>
          </w:p>
        </w:tc>
        <w:tc>
          <w:tcPr>
            <w:tcW w:w="163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信用监测国家排名在同类城市中保持在中上游。</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评分规则：</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在同类城市中排名保持在中上游得满分，否则不得分</w:t>
            </w:r>
          </w:p>
        </w:tc>
        <w:tc>
          <w:tcPr>
            <w:tcW w:w="277"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排名保持在中</w:t>
            </w:r>
            <w:r>
              <w:rPr>
                <w:rFonts w:ascii="Times New Roman" w:eastAsia="方正楷体_GBK" w:hAnsi="Times New Roman" w:cs="方正楷体_GBK" w:hint="eastAsia"/>
                <w:kern w:val="0"/>
                <w:sz w:val="22"/>
              </w:rPr>
              <w:lastRenderedPageBreak/>
              <w:t>上游</w:t>
            </w:r>
          </w:p>
        </w:tc>
        <w:tc>
          <w:tcPr>
            <w:tcW w:w="26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2</w:t>
            </w:r>
          </w:p>
        </w:tc>
        <w:tc>
          <w:tcPr>
            <w:tcW w:w="26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691"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在</w:t>
            </w:r>
            <w:r>
              <w:rPr>
                <w:rFonts w:ascii="Times New Roman" w:eastAsia="方正楷体_GBK" w:hAnsi="Times New Roman" w:cs="方正楷体_GBK" w:hint="eastAsia"/>
                <w:kern w:val="0"/>
                <w:sz w:val="22"/>
              </w:rPr>
              <w:t>36</w:t>
            </w:r>
            <w:r>
              <w:rPr>
                <w:rFonts w:ascii="Times New Roman" w:eastAsia="方正楷体_GBK" w:hAnsi="Times New Roman" w:cs="方正楷体_GBK" w:hint="eastAsia"/>
                <w:kern w:val="0"/>
                <w:sz w:val="22"/>
              </w:rPr>
              <w:t>个省会及副省级以上城市中排名第</w:t>
            </w:r>
            <w:r>
              <w:rPr>
                <w:rFonts w:ascii="Times New Roman" w:eastAsia="方正楷体_GBK" w:hAnsi="Times New Roman" w:cs="方正楷体_GBK" w:hint="eastAsia"/>
                <w:kern w:val="0"/>
                <w:sz w:val="22"/>
              </w:rPr>
              <w:t>10</w:t>
            </w:r>
            <w:r>
              <w:rPr>
                <w:rFonts w:ascii="Times New Roman" w:eastAsia="方正楷体_GBK" w:hAnsi="Times New Roman" w:cs="方正楷体_GBK" w:hint="eastAsia"/>
                <w:kern w:val="0"/>
                <w:sz w:val="22"/>
              </w:rPr>
              <w:t>位。</w:t>
            </w:r>
          </w:p>
        </w:tc>
      </w:tr>
      <w:tr w:rsidR="001A79DF">
        <w:trPr>
          <w:trHeight w:val="23"/>
        </w:trPr>
        <w:tc>
          <w:tcPr>
            <w:tcW w:w="263" w:type="pct"/>
            <w:vMerge/>
            <w:tcBorders>
              <w:left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single" w:sz="4" w:space="0" w:color="auto"/>
              <w:left w:val="single" w:sz="4" w:space="0" w:color="auto"/>
              <w:bottom w:val="single" w:sz="4" w:space="0" w:color="000000"/>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C43</w:t>
            </w:r>
            <w:r>
              <w:rPr>
                <w:rFonts w:ascii="Times New Roman" w:eastAsia="方正楷体_GBK" w:hAnsi="Times New Roman" w:cs="方正楷体_GBK" w:hint="eastAsia"/>
                <w:kern w:val="0"/>
                <w:sz w:val="22"/>
              </w:rPr>
              <w:t>信用主题活动综合报道以及深度报道等稿件数</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考核信用主题活动综合报道以及深度报道等稿件数情况</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信用主题活动综合报道以及深度报道等稿件数是否完成年度计划数。</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评分规则：</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信用主题活动综合报道以及深度报道等稿件数</w:t>
            </w:r>
            <w:r>
              <w:rPr>
                <w:rFonts w:ascii="Times New Roman" w:eastAsia="方正楷体_GBK" w:hAnsi="Times New Roman" w:cs="方正楷体_GBK" w:hint="eastAsia"/>
                <w:kern w:val="0"/>
                <w:sz w:val="22"/>
              </w:rPr>
              <w:t>6</w:t>
            </w:r>
            <w:r>
              <w:rPr>
                <w:rFonts w:ascii="Times New Roman" w:eastAsia="方正楷体_GBK" w:hAnsi="Times New Roman" w:cs="方正楷体_GBK" w:hint="eastAsia"/>
                <w:kern w:val="0"/>
                <w:sz w:val="22"/>
              </w:rPr>
              <w:t>篇以上得满分，否则按比例扣分。</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6</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信用主题活动综合报道以及深度报道等稿件数</w:t>
            </w:r>
            <w:r>
              <w:rPr>
                <w:rFonts w:ascii="Times New Roman" w:eastAsia="方正楷体_GBK" w:hAnsi="Times New Roman" w:cs="方正楷体_GBK" w:hint="eastAsia"/>
                <w:kern w:val="0"/>
                <w:sz w:val="22"/>
              </w:rPr>
              <w:t>10</w:t>
            </w:r>
            <w:r>
              <w:rPr>
                <w:rFonts w:ascii="Times New Roman" w:eastAsia="方正楷体_GBK" w:hAnsi="Times New Roman" w:cs="方正楷体_GBK" w:hint="eastAsia"/>
                <w:kern w:val="0"/>
                <w:sz w:val="22"/>
              </w:rPr>
              <w:t>篇。</w:t>
            </w:r>
          </w:p>
        </w:tc>
      </w:tr>
      <w:tr w:rsidR="001A79DF">
        <w:trPr>
          <w:trHeight w:val="23"/>
        </w:trPr>
        <w:tc>
          <w:tcPr>
            <w:tcW w:w="263" w:type="pct"/>
            <w:vMerge/>
            <w:tcBorders>
              <w:left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val="restart"/>
            <w:tcBorders>
              <w:top w:val="nil"/>
              <w:left w:val="single" w:sz="4" w:space="0" w:color="auto"/>
              <w:bottom w:val="single" w:sz="4" w:space="0" w:color="000000"/>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C5</w:t>
            </w:r>
            <w:r>
              <w:rPr>
                <w:rFonts w:ascii="Times New Roman" w:eastAsia="方正楷体_GBK" w:hAnsi="Times New Roman" w:cs="方正楷体_GBK" w:hint="eastAsia"/>
                <w:kern w:val="0"/>
                <w:sz w:val="22"/>
              </w:rPr>
              <w:t>粮食和物资管理</w:t>
            </w: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C51</w:t>
            </w:r>
            <w:r>
              <w:rPr>
                <w:rFonts w:ascii="Times New Roman" w:eastAsia="方正楷体_GBK" w:hAnsi="Times New Roman" w:cs="方正楷体_GBK" w:hint="eastAsia"/>
                <w:kern w:val="0"/>
                <w:sz w:val="22"/>
              </w:rPr>
              <w:t>开展粮食监督检查次数</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考核粮储安全监管工作完成情况</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开展粮储安全监管检查是否完成年度计划数。</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评分规则：</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开展粮储安全监管检查</w:t>
            </w:r>
            <w:r>
              <w:rPr>
                <w:rFonts w:ascii="Times New Roman" w:eastAsia="方正楷体_GBK" w:hAnsi="Times New Roman" w:cs="方正楷体_GBK" w:hint="eastAsia"/>
                <w:kern w:val="0"/>
                <w:sz w:val="22"/>
              </w:rPr>
              <w:t>8</w:t>
            </w:r>
            <w:r>
              <w:rPr>
                <w:rFonts w:ascii="Times New Roman" w:eastAsia="方正楷体_GBK" w:hAnsi="Times New Roman" w:cs="方正楷体_GBK" w:hint="eastAsia"/>
                <w:kern w:val="0"/>
                <w:sz w:val="22"/>
              </w:rPr>
              <w:t>次以上得满分，否则按比例扣分。</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w:t>
            </w:r>
            <w:r>
              <w:rPr>
                <w:rFonts w:ascii="Times New Roman" w:eastAsia="方正楷体_GBK" w:hAnsi="Times New Roman" w:cs="方正楷体_GBK" w:hint="eastAsia"/>
                <w:kern w:val="0"/>
                <w:sz w:val="22"/>
              </w:rPr>
              <w:t>8</w:t>
            </w:r>
            <w:r>
              <w:rPr>
                <w:rFonts w:ascii="Times New Roman" w:eastAsia="方正楷体_GBK" w:hAnsi="Times New Roman" w:cs="方正楷体_GBK" w:hint="eastAsia"/>
                <w:kern w:val="0"/>
                <w:sz w:val="22"/>
              </w:rPr>
              <w:t>次</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1.5</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开展粮储安全监管检查</w:t>
            </w:r>
            <w:r>
              <w:rPr>
                <w:rFonts w:ascii="Times New Roman" w:eastAsia="方正楷体_GBK" w:hAnsi="Times New Roman" w:cs="方正楷体_GBK" w:hint="eastAsia"/>
                <w:kern w:val="0"/>
                <w:sz w:val="22"/>
              </w:rPr>
              <w:t>6</w:t>
            </w:r>
            <w:r>
              <w:rPr>
                <w:rFonts w:ascii="Times New Roman" w:eastAsia="方正楷体_GBK" w:hAnsi="Times New Roman" w:cs="方正楷体_GBK" w:hint="eastAsia"/>
                <w:kern w:val="0"/>
                <w:sz w:val="22"/>
              </w:rPr>
              <w:t>次。</w:t>
            </w:r>
          </w:p>
        </w:tc>
      </w:tr>
      <w:tr w:rsidR="001A79DF">
        <w:trPr>
          <w:trHeight w:val="23"/>
        </w:trPr>
        <w:tc>
          <w:tcPr>
            <w:tcW w:w="263" w:type="pct"/>
            <w:vMerge/>
            <w:tcBorders>
              <w:left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nil"/>
              <w:left w:val="single" w:sz="4" w:space="0" w:color="auto"/>
              <w:bottom w:val="single" w:sz="4" w:space="0" w:color="000000"/>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C52</w:t>
            </w:r>
            <w:r>
              <w:rPr>
                <w:rFonts w:ascii="Times New Roman" w:eastAsia="方正楷体_GBK" w:hAnsi="Times New Roman" w:cs="方正楷体_GBK" w:hint="eastAsia"/>
                <w:kern w:val="0"/>
                <w:sz w:val="22"/>
              </w:rPr>
              <w:t>检查储备粮抽检样品数</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考核粮储安全监管检查储备粮抽检样品情况</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开展粮储安全监管检查是否完成储备粮抽检样品数。</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评分规则：</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完成储备粮抽检样品</w:t>
            </w:r>
            <w:r>
              <w:rPr>
                <w:rFonts w:ascii="Times New Roman" w:eastAsia="方正楷体_GBK" w:hAnsi="Times New Roman" w:cs="方正楷体_GBK" w:hint="eastAsia"/>
                <w:kern w:val="0"/>
                <w:sz w:val="22"/>
              </w:rPr>
              <w:t>70</w:t>
            </w:r>
            <w:r>
              <w:rPr>
                <w:rFonts w:ascii="Times New Roman" w:eastAsia="方正楷体_GBK" w:hAnsi="Times New Roman" w:cs="方正楷体_GBK" w:hint="eastAsia"/>
                <w:kern w:val="0"/>
                <w:sz w:val="22"/>
              </w:rPr>
              <w:t>份以上得满分，否则按比例扣分</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70</w:t>
            </w:r>
            <w:r>
              <w:rPr>
                <w:rFonts w:ascii="Times New Roman" w:eastAsia="方正楷体_GBK" w:hAnsi="Times New Roman" w:cs="方正楷体_GBK" w:hint="eastAsia"/>
                <w:kern w:val="0"/>
                <w:sz w:val="22"/>
              </w:rPr>
              <w:t>份</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完成储备粮抽检样品</w:t>
            </w:r>
            <w:r>
              <w:rPr>
                <w:rFonts w:ascii="Times New Roman" w:eastAsia="方正楷体_GBK" w:hAnsi="Times New Roman" w:cs="方正楷体_GBK" w:hint="eastAsia"/>
                <w:kern w:val="0"/>
                <w:sz w:val="22"/>
              </w:rPr>
              <w:t>79</w:t>
            </w:r>
            <w:r>
              <w:rPr>
                <w:rFonts w:ascii="Times New Roman" w:eastAsia="方正楷体_GBK" w:hAnsi="Times New Roman" w:cs="方正楷体_GBK" w:hint="eastAsia"/>
                <w:kern w:val="0"/>
                <w:sz w:val="22"/>
              </w:rPr>
              <w:t>份。</w:t>
            </w:r>
          </w:p>
        </w:tc>
      </w:tr>
      <w:tr w:rsidR="001A79DF">
        <w:trPr>
          <w:trHeight w:val="23"/>
        </w:trPr>
        <w:tc>
          <w:tcPr>
            <w:tcW w:w="263" w:type="pct"/>
            <w:vMerge/>
            <w:tcBorders>
              <w:left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nil"/>
              <w:left w:val="single" w:sz="4" w:space="0" w:color="auto"/>
              <w:bottom w:val="single" w:sz="4" w:space="0" w:color="000000"/>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C53</w:t>
            </w:r>
            <w:r>
              <w:rPr>
                <w:rFonts w:ascii="Times New Roman" w:eastAsia="方正楷体_GBK" w:hAnsi="Times New Roman" w:cs="方正楷体_GBK" w:hint="eastAsia"/>
                <w:kern w:val="0"/>
                <w:sz w:val="22"/>
              </w:rPr>
              <w:t>粮食宣传活动次数</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考核粮食质量安全宣传工作完成情况</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开展粮食宣传活动是否完成年度计划数。</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评分规则：</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开展粮食宣传活动</w:t>
            </w:r>
            <w:r>
              <w:rPr>
                <w:rFonts w:ascii="Times New Roman" w:eastAsia="方正楷体_GBK" w:hAnsi="Times New Roman" w:cs="方正楷体_GBK" w:hint="eastAsia"/>
                <w:kern w:val="0"/>
                <w:sz w:val="22"/>
              </w:rPr>
              <w:t>2</w:t>
            </w:r>
            <w:r>
              <w:rPr>
                <w:rFonts w:ascii="Times New Roman" w:eastAsia="方正楷体_GBK" w:hAnsi="Times New Roman" w:cs="方正楷体_GBK" w:hint="eastAsia"/>
                <w:kern w:val="0"/>
                <w:sz w:val="22"/>
              </w:rPr>
              <w:t>次以上得满分，否则按比</w:t>
            </w:r>
            <w:r>
              <w:rPr>
                <w:rFonts w:ascii="Times New Roman" w:eastAsia="方正楷体_GBK" w:hAnsi="Times New Roman" w:cs="方正楷体_GBK" w:hint="eastAsia"/>
                <w:kern w:val="0"/>
                <w:sz w:val="22"/>
              </w:rPr>
              <w:lastRenderedPageBreak/>
              <w:t>例扣分。</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w:t>
            </w:r>
            <w:r>
              <w:rPr>
                <w:rFonts w:ascii="Times New Roman" w:eastAsia="方正楷体_GBK" w:hAnsi="Times New Roman" w:cs="方正楷体_GBK" w:hint="eastAsia"/>
                <w:kern w:val="0"/>
                <w:sz w:val="22"/>
              </w:rPr>
              <w:t>2</w:t>
            </w:r>
            <w:r>
              <w:rPr>
                <w:rFonts w:ascii="Times New Roman" w:eastAsia="方正楷体_GBK" w:hAnsi="Times New Roman" w:cs="方正楷体_GBK" w:hint="eastAsia"/>
                <w:kern w:val="0"/>
                <w:sz w:val="22"/>
              </w:rPr>
              <w:t>次</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开展粮食宣传活动</w:t>
            </w:r>
            <w:r>
              <w:rPr>
                <w:rFonts w:ascii="Times New Roman" w:eastAsia="方正楷体_GBK" w:hAnsi="Times New Roman" w:cs="方正楷体_GBK" w:hint="eastAsia"/>
                <w:kern w:val="0"/>
                <w:sz w:val="22"/>
              </w:rPr>
              <w:t>2</w:t>
            </w:r>
            <w:r>
              <w:rPr>
                <w:rFonts w:ascii="Times New Roman" w:eastAsia="方正楷体_GBK" w:hAnsi="Times New Roman" w:cs="方正楷体_GBK" w:hint="eastAsia"/>
                <w:kern w:val="0"/>
                <w:sz w:val="22"/>
              </w:rPr>
              <w:t>次</w:t>
            </w:r>
          </w:p>
        </w:tc>
      </w:tr>
      <w:tr w:rsidR="001A79DF">
        <w:trPr>
          <w:trHeight w:val="23"/>
        </w:trPr>
        <w:tc>
          <w:tcPr>
            <w:tcW w:w="263" w:type="pct"/>
            <w:vMerge/>
            <w:tcBorders>
              <w:left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val="restart"/>
            <w:tcBorders>
              <w:top w:val="nil"/>
              <w:left w:val="single" w:sz="4" w:space="0" w:color="auto"/>
              <w:bottom w:val="single" w:sz="4" w:space="0" w:color="000000"/>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C6</w:t>
            </w:r>
            <w:r>
              <w:rPr>
                <w:rFonts w:ascii="Times New Roman" w:eastAsia="方正楷体_GBK" w:hAnsi="Times New Roman" w:cs="方正楷体_GBK" w:hint="eastAsia"/>
                <w:kern w:val="0"/>
                <w:sz w:val="22"/>
              </w:rPr>
              <w:t>推进办日常工作</w:t>
            </w:r>
          </w:p>
        </w:tc>
        <w:tc>
          <w:tcPr>
            <w:tcW w:w="49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C61</w:t>
            </w:r>
            <w:r>
              <w:rPr>
                <w:rFonts w:ascii="Times New Roman" w:eastAsia="方正楷体_GBK" w:hAnsi="Times New Roman" w:cs="方正楷体_GBK" w:hint="eastAsia"/>
                <w:kern w:val="0"/>
                <w:sz w:val="22"/>
              </w:rPr>
              <w:t>检查重大项目数量</w:t>
            </w:r>
          </w:p>
        </w:tc>
        <w:tc>
          <w:tcPr>
            <w:tcW w:w="795"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考核开展市重大项目督查工作情况</w:t>
            </w:r>
          </w:p>
        </w:tc>
        <w:tc>
          <w:tcPr>
            <w:tcW w:w="163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开展市重大项目督查是否完成年度计划数。</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评分规则：</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开展市重大项目督查</w:t>
            </w:r>
            <w:r>
              <w:rPr>
                <w:rFonts w:ascii="Times New Roman" w:eastAsia="方正楷体_GBK" w:hAnsi="Times New Roman" w:cs="方正楷体_GBK" w:hint="eastAsia"/>
                <w:kern w:val="0"/>
                <w:sz w:val="22"/>
              </w:rPr>
              <w:t>60</w:t>
            </w:r>
            <w:r>
              <w:rPr>
                <w:rFonts w:ascii="Times New Roman" w:eastAsia="方正楷体_GBK" w:hAnsi="Times New Roman" w:cs="方正楷体_GBK" w:hint="eastAsia"/>
                <w:kern w:val="0"/>
                <w:sz w:val="22"/>
              </w:rPr>
              <w:t>次以上满分，否则按比例扣分。</w:t>
            </w:r>
          </w:p>
        </w:tc>
        <w:tc>
          <w:tcPr>
            <w:tcW w:w="277"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60</w:t>
            </w:r>
          </w:p>
        </w:tc>
        <w:tc>
          <w:tcPr>
            <w:tcW w:w="26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26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691"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开展市重大项目督查</w:t>
            </w:r>
            <w:r>
              <w:rPr>
                <w:rFonts w:ascii="Times New Roman" w:eastAsia="方正楷体_GBK" w:hAnsi="Times New Roman" w:cs="方正楷体_GBK" w:hint="eastAsia"/>
                <w:kern w:val="0"/>
                <w:sz w:val="22"/>
              </w:rPr>
              <w:t>174</w:t>
            </w:r>
            <w:r>
              <w:rPr>
                <w:rFonts w:ascii="Times New Roman" w:eastAsia="方正楷体_GBK" w:hAnsi="Times New Roman" w:cs="方正楷体_GBK" w:hint="eastAsia"/>
                <w:kern w:val="0"/>
                <w:sz w:val="22"/>
              </w:rPr>
              <w:t>次。</w:t>
            </w:r>
          </w:p>
        </w:tc>
      </w:tr>
      <w:tr w:rsidR="001A79DF">
        <w:trPr>
          <w:trHeight w:val="23"/>
        </w:trPr>
        <w:tc>
          <w:tcPr>
            <w:tcW w:w="263" w:type="pct"/>
            <w:vMerge/>
            <w:tcBorders>
              <w:left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nil"/>
              <w:left w:val="single" w:sz="4" w:space="0" w:color="auto"/>
              <w:bottom w:val="single" w:sz="4" w:space="0" w:color="000000"/>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C62</w:t>
            </w:r>
            <w:r>
              <w:rPr>
                <w:rFonts w:ascii="Times New Roman" w:eastAsia="方正楷体_GBK" w:hAnsi="Times New Roman" w:cs="方正楷体_GBK" w:hint="eastAsia"/>
                <w:kern w:val="0"/>
                <w:sz w:val="22"/>
              </w:rPr>
              <w:t>对各项推进工作进行服务、协调、保障</w:t>
            </w:r>
          </w:p>
        </w:tc>
        <w:tc>
          <w:tcPr>
            <w:tcW w:w="795"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考核长江经济带发展、主导产业、重大项目推进工作服务、协调、保障工作开展时效性情况</w:t>
            </w:r>
          </w:p>
        </w:tc>
        <w:tc>
          <w:tcPr>
            <w:tcW w:w="163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长江经济带发展、主导产业、重大项目推进工作服务、协调、保障工作按序时任务推进。</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评分规则：</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序时进度均符合计划要求的得满分，每发现一例延误事项，扣减权重分</w:t>
            </w:r>
            <w:r>
              <w:rPr>
                <w:rFonts w:ascii="Times New Roman" w:eastAsia="方正楷体_GBK" w:hAnsi="Times New Roman" w:cs="方正楷体_GBK" w:hint="eastAsia"/>
                <w:kern w:val="0"/>
                <w:sz w:val="22"/>
              </w:rPr>
              <w:t>0.5</w:t>
            </w:r>
            <w:r>
              <w:rPr>
                <w:rFonts w:ascii="Times New Roman" w:eastAsia="方正楷体_GBK" w:hAnsi="Times New Roman" w:cs="方正楷体_GBK" w:hint="eastAsia"/>
                <w:kern w:val="0"/>
                <w:sz w:val="22"/>
              </w:rPr>
              <w:t>分，扣完为止</w:t>
            </w:r>
          </w:p>
        </w:tc>
        <w:tc>
          <w:tcPr>
            <w:tcW w:w="277"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按时效推进</w:t>
            </w:r>
          </w:p>
        </w:tc>
        <w:tc>
          <w:tcPr>
            <w:tcW w:w="26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26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691"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长江经济带发展、主导产业、重大项目推进工作服务、协调、保障工作按序时推进。</w:t>
            </w:r>
          </w:p>
        </w:tc>
      </w:tr>
      <w:tr w:rsidR="001A79DF">
        <w:trPr>
          <w:trHeight w:val="23"/>
        </w:trPr>
        <w:tc>
          <w:tcPr>
            <w:tcW w:w="263" w:type="pct"/>
            <w:vMerge/>
            <w:tcBorders>
              <w:left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nil"/>
              <w:left w:val="single" w:sz="4" w:space="0" w:color="auto"/>
              <w:bottom w:val="single" w:sz="4" w:space="0" w:color="000000"/>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C63</w:t>
            </w:r>
            <w:r>
              <w:rPr>
                <w:rFonts w:ascii="Times New Roman" w:eastAsia="方正楷体_GBK" w:hAnsi="Times New Roman" w:cs="方正楷体_GBK" w:hint="eastAsia"/>
                <w:kern w:val="0"/>
                <w:sz w:val="22"/>
              </w:rPr>
              <w:t>推进都市圈宣传，发布宣传信息条数</w:t>
            </w:r>
          </w:p>
        </w:tc>
        <w:tc>
          <w:tcPr>
            <w:tcW w:w="795"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考核在都市</w:t>
            </w:r>
            <w:proofErr w:type="gramStart"/>
            <w:r>
              <w:rPr>
                <w:rFonts w:ascii="Times New Roman" w:eastAsia="方正楷体_GBK" w:hAnsi="Times New Roman" w:cs="方正楷体_GBK" w:hint="eastAsia"/>
                <w:kern w:val="0"/>
                <w:sz w:val="22"/>
              </w:rPr>
              <w:t>圈推进</w:t>
            </w:r>
            <w:proofErr w:type="gramEnd"/>
            <w:r>
              <w:rPr>
                <w:rFonts w:ascii="Times New Roman" w:eastAsia="方正楷体_GBK" w:hAnsi="Times New Roman" w:cs="方正楷体_GBK" w:hint="eastAsia"/>
                <w:kern w:val="0"/>
                <w:sz w:val="22"/>
              </w:rPr>
              <w:t>过程中的宣传工作</w:t>
            </w:r>
          </w:p>
        </w:tc>
        <w:tc>
          <w:tcPr>
            <w:tcW w:w="163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推进都市圈宣传，发布宣传信息条数是否完成年度计划数。</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评分规则：</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推进都市圈宣传，发布宣传信息条数≥</w:t>
            </w:r>
            <w:r>
              <w:rPr>
                <w:rFonts w:ascii="Times New Roman" w:eastAsia="方正楷体_GBK" w:hAnsi="Times New Roman" w:cs="方正楷体_GBK" w:hint="eastAsia"/>
                <w:kern w:val="0"/>
                <w:sz w:val="22"/>
              </w:rPr>
              <w:t>200</w:t>
            </w:r>
            <w:r>
              <w:rPr>
                <w:rFonts w:ascii="Times New Roman" w:eastAsia="方正楷体_GBK" w:hAnsi="Times New Roman" w:cs="方正楷体_GBK" w:hint="eastAsia"/>
                <w:kern w:val="0"/>
                <w:sz w:val="22"/>
              </w:rPr>
              <w:t>条得满分，否则按比例扣分</w:t>
            </w:r>
          </w:p>
        </w:tc>
        <w:tc>
          <w:tcPr>
            <w:tcW w:w="277"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200</w:t>
            </w:r>
            <w:r>
              <w:rPr>
                <w:rFonts w:ascii="Times New Roman" w:eastAsia="方正楷体_GBK" w:hAnsi="Times New Roman" w:cs="方正楷体_GBK" w:hint="eastAsia"/>
                <w:kern w:val="0"/>
                <w:sz w:val="22"/>
              </w:rPr>
              <w:t>条</w:t>
            </w:r>
          </w:p>
        </w:tc>
        <w:tc>
          <w:tcPr>
            <w:tcW w:w="26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26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691"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推进都市圈宣传，发布宣传信息条数</w:t>
            </w:r>
            <w:r>
              <w:rPr>
                <w:rFonts w:ascii="Times New Roman" w:eastAsia="方正楷体_GBK" w:hAnsi="Times New Roman" w:cs="方正楷体_GBK" w:hint="eastAsia"/>
                <w:kern w:val="0"/>
                <w:sz w:val="22"/>
              </w:rPr>
              <w:t>257</w:t>
            </w:r>
            <w:r>
              <w:rPr>
                <w:rFonts w:ascii="Times New Roman" w:eastAsia="方正楷体_GBK" w:hAnsi="Times New Roman" w:cs="方正楷体_GBK" w:hint="eastAsia"/>
                <w:kern w:val="0"/>
                <w:sz w:val="22"/>
              </w:rPr>
              <w:t>条。</w:t>
            </w:r>
          </w:p>
        </w:tc>
      </w:tr>
      <w:tr w:rsidR="001A79DF">
        <w:trPr>
          <w:trHeight w:val="23"/>
        </w:trPr>
        <w:tc>
          <w:tcPr>
            <w:tcW w:w="263" w:type="pct"/>
            <w:vMerge/>
            <w:tcBorders>
              <w:left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val="restart"/>
            <w:tcBorders>
              <w:top w:val="single" w:sz="4" w:space="0" w:color="auto"/>
              <w:left w:val="single" w:sz="4" w:space="0" w:color="auto"/>
              <w:bottom w:val="single" w:sz="4" w:space="0" w:color="auto"/>
              <w:right w:val="single" w:sz="4" w:space="0" w:color="auto"/>
            </w:tcBorders>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C7</w:t>
            </w:r>
            <w:r>
              <w:rPr>
                <w:rFonts w:ascii="Times New Roman" w:eastAsia="方正楷体_GBK" w:hAnsi="Times New Roman" w:cs="方正楷体_GBK" w:hint="eastAsia"/>
                <w:kern w:val="0"/>
                <w:sz w:val="22"/>
              </w:rPr>
              <w:t>“十五五”规划编制</w:t>
            </w:r>
          </w:p>
        </w:tc>
        <w:tc>
          <w:tcPr>
            <w:tcW w:w="490" w:type="pct"/>
            <w:tcBorders>
              <w:top w:val="single" w:sz="4" w:space="0" w:color="auto"/>
              <w:left w:val="single" w:sz="4" w:space="0" w:color="auto"/>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C71</w:t>
            </w:r>
            <w:r>
              <w:rPr>
                <w:rFonts w:ascii="Times New Roman" w:eastAsia="方正楷体_GBK" w:hAnsi="Times New Roman" w:cs="方正楷体_GBK" w:hint="eastAsia"/>
                <w:kern w:val="0"/>
                <w:sz w:val="22"/>
              </w:rPr>
              <w:t>中期研究课题报告</w:t>
            </w:r>
          </w:p>
        </w:tc>
        <w:tc>
          <w:tcPr>
            <w:tcW w:w="795" w:type="pct"/>
            <w:tcBorders>
              <w:top w:val="single" w:sz="4" w:space="0" w:color="auto"/>
              <w:left w:val="single" w:sz="4" w:space="0" w:color="auto"/>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考核“十五五”规划中期研究课题报告编制情况</w:t>
            </w:r>
          </w:p>
        </w:tc>
        <w:tc>
          <w:tcPr>
            <w:tcW w:w="163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评价要点：“十五五”规划中期研究课题报告结题数是否完成年度计划数。</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评分规则：</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中期研究课题报告结题数≥</w:t>
            </w:r>
            <w:r>
              <w:rPr>
                <w:rFonts w:ascii="Times New Roman" w:eastAsia="方正楷体_GBK" w:hAnsi="Times New Roman" w:cs="方正楷体_GBK" w:hint="eastAsia"/>
                <w:kern w:val="0"/>
                <w:sz w:val="22"/>
              </w:rPr>
              <w:t>8</w:t>
            </w:r>
            <w:r>
              <w:rPr>
                <w:rFonts w:ascii="Times New Roman" w:eastAsia="方正楷体_GBK" w:hAnsi="Times New Roman" w:cs="方正楷体_GBK" w:hint="eastAsia"/>
                <w:kern w:val="0"/>
                <w:sz w:val="22"/>
              </w:rPr>
              <w:t>篇得满分，否则按未完成比例扣分。</w:t>
            </w:r>
          </w:p>
        </w:tc>
        <w:tc>
          <w:tcPr>
            <w:tcW w:w="277"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8</w:t>
            </w:r>
            <w:r>
              <w:rPr>
                <w:rFonts w:ascii="Times New Roman" w:eastAsia="方正楷体_GBK" w:hAnsi="Times New Roman" w:cs="方正楷体_GBK" w:hint="eastAsia"/>
                <w:kern w:val="0"/>
                <w:sz w:val="22"/>
              </w:rPr>
              <w:t>篇</w:t>
            </w:r>
          </w:p>
        </w:tc>
        <w:tc>
          <w:tcPr>
            <w:tcW w:w="26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26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691"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结题</w:t>
            </w:r>
            <w:r>
              <w:rPr>
                <w:rFonts w:ascii="Times New Roman" w:eastAsia="方正楷体_GBK" w:hAnsi="Times New Roman" w:cs="方正楷体_GBK" w:hint="eastAsia"/>
                <w:kern w:val="0"/>
                <w:sz w:val="22"/>
              </w:rPr>
              <w:t>13</w:t>
            </w:r>
            <w:r>
              <w:rPr>
                <w:rFonts w:ascii="Times New Roman" w:eastAsia="方正楷体_GBK" w:hAnsi="Times New Roman" w:cs="方正楷体_GBK" w:hint="eastAsia"/>
                <w:kern w:val="0"/>
                <w:sz w:val="22"/>
              </w:rPr>
              <w:t>篇中期研究课题报告。</w:t>
            </w:r>
          </w:p>
        </w:tc>
      </w:tr>
      <w:tr w:rsidR="001A79DF">
        <w:trPr>
          <w:trHeight w:val="23"/>
        </w:trPr>
        <w:tc>
          <w:tcPr>
            <w:tcW w:w="263" w:type="pct"/>
            <w:vMerge/>
            <w:tcBorders>
              <w:left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single" w:sz="4" w:space="0" w:color="auto"/>
              <w:left w:val="single" w:sz="4" w:space="0" w:color="auto"/>
              <w:bottom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single" w:sz="4" w:space="0" w:color="auto"/>
              <w:left w:val="single" w:sz="4" w:space="0" w:color="auto"/>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C72</w:t>
            </w:r>
            <w:r>
              <w:rPr>
                <w:rFonts w:ascii="Times New Roman" w:eastAsia="方正楷体_GBK" w:hAnsi="Times New Roman" w:cs="方正楷体_GBK" w:hint="eastAsia"/>
                <w:kern w:val="0"/>
                <w:sz w:val="22"/>
              </w:rPr>
              <w:t>市级以</w:t>
            </w:r>
            <w:r>
              <w:rPr>
                <w:rFonts w:ascii="Times New Roman" w:eastAsia="方正楷体_GBK" w:hAnsi="Times New Roman" w:cs="方正楷体_GBK" w:hint="eastAsia"/>
                <w:kern w:val="0"/>
                <w:sz w:val="22"/>
              </w:rPr>
              <w:lastRenderedPageBreak/>
              <w:t>上刊物刊发</w:t>
            </w:r>
          </w:p>
        </w:tc>
        <w:tc>
          <w:tcPr>
            <w:tcW w:w="795" w:type="pct"/>
            <w:tcBorders>
              <w:top w:val="single" w:sz="4" w:space="0" w:color="auto"/>
              <w:left w:val="single" w:sz="4" w:space="0" w:color="auto"/>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考核“十五五”规划</w:t>
            </w:r>
            <w:r>
              <w:rPr>
                <w:rFonts w:ascii="Times New Roman" w:eastAsia="方正楷体_GBK" w:hAnsi="Times New Roman" w:cs="方正楷体_GBK" w:hint="eastAsia"/>
                <w:kern w:val="0"/>
                <w:sz w:val="22"/>
              </w:rPr>
              <w:lastRenderedPageBreak/>
              <w:t>相关成果在市级以上刊物刊发情况</w:t>
            </w:r>
          </w:p>
        </w:tc>
        <w:tc>
          <w:tcPr>
            <w:tcW w:w="163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市级以上刊物刊发是否完成年度计划数。</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评分规则：</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市级以上刊物刊发≥</w:t>
            </w:r>
            <w:r>
              <w:rPr>
                <w:rFonts w:ascii="Times New Roman" w:eastAsia="方正楷体_GBK" w:hAnsi="Times New Roman" w:cs="方正楷体_GBK" w:hint="eastAsia"/>
                <w:kern w:val="0"/>
                <w:sz w:val="22"/>
              </w:rPr>
              <w:t>4</w:t>
            </w:r>
            <w:r>
              <w:rPr>
                <w:rFonts w:ascii="Times New Roman" w:eastAsia="方正楷体_GBK" w:hAnsi="Times New Roman" w:cs="方正楷体_GBK" w:hint="eastAsia"/>
                <w:kern w:val="0"/>
                <w:sz w:val="22"/>
              </w:rPr>
              <w:t>篇得满分，否则按未完成比例扣分。</w:t>
            </w:r>
          </w:p>
        </w:tc>
        <w:tc>
          <w:tcPr>
            <w:tcW w:w="277"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4</w:t>
            </w:r>
            <w:r>
              <w:rPr>
                <w:rFonts w:ascii="Times New Roman" w:eastAsia="方正楷体_GBK" w:hAnsi="Times New Roman" w:cs="方正楷体_GBK" w:hint="eastAsia"/>
                <w:kern w:val="0"/>
                <w:sz w:val="22"/>
              </w:rPr>
              <w:t>篇</w:t>
            </w:r>
          </w:p>
        </w:tc>
        <w:tc>
          <w:tcPr>
            <w:tcW w:w="26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26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2</w:t>
            </w:r>
          </w:p>
        </w:tc>
        <w:tc>
          <w:tcPr>
            <w:tcW w:w="691"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市级以上刊物刊</w:t>
            </w:r>
            <w:r>
              <w:rPr>
                <w:rFonts w:ascii="Times New Roman" w:eastAsia="方正楷体_GBK" w:hAnsi="Times New Roman" w:cs="方正楷体_GBK" w:hint="eastAsia"/>
                <w:kern w:val="0"/>
                <w:sz w:val="22"/>
              </w:rPr>
              <w:lastRenderedPageBreak/>
              <w:t>发</w:t>
            </w:r>
            <w:r>
              <w:rPr>
                <w:rFonts w:ascii="Times New Roman" w:eastAsia="方正楷体_GBK" w:hAnsi="Times New Roman" w:cs="方正楷体_GBK" w:hint="eastAsia"/>
                <w:kern w:val="0"/>
                <w:sz w:val="22"/>
              </w:rPr>
              <w:t>11</w:t>
            </w:r>
            <w:r>
              <w:rPr>
                <w:rFonts w:ascii="Times New Roman" w:eastAsia="方正楷体_GBK" w:hAnsi="Times New Roman" w:cs="方正楷体_GBK" w:hint="eastAsia"/>
                <w:kern w:val="0"/>
                <w:sz w:val="22"/>
              </w:rPr>
              <w:t>篇。</w:t>
            </w:r>
          </w:p>
        </w:tc>
      </w:tr>
      <w:tr w:rsidR="001A79DF">
        <w:trPr>
          <w:trHeight w:val="23"/>
        </w:trPr>
        <w:tc>
          <w:tcPr>
            <w:tcW w:w="263" w:type="pct"/>
            <w:vMerge w:val="restart"/>
            <w:tcBorders>
              <w:top w:val="nil"/>
              <w:left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D</w:t>
            </w:r>
            <w:r>
              <w:rPr>
                <w:rFonts w:ascii="Times New Roman" w:eastAsia="方正楷体_GBK" w:hAnsi="Times New Roman" w:cs="方正楷体_GBK" w:hint="eastAsia"/>
                <w:kern w:val="0"/>
                <w:sz w:val="22"/>
              </w:rPr>
              <w:t>效益</w:t>
            </w:r>
          </w:p>
        </w:tc>
        <w:tc>
          <w:tcPr>
            <w:tcW w:w="321" w:type="pct"/>
            <w:tcBorders>
              <w:top w:val="single" w:sz="4" w:space="0" w:color="auto"/>
              <w:left w:val="nil"/>
              <w:bottom w:val="nil"/>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D1</w:t>
            </w:r>
            <w:r>
              <w:rPr>
                <w:rFonts w:ascii="Times New Roman" w:eastAsia="方正楷体_GBK" w:hAnsi="Times New Roman" w:cs="方正楷体_GBK" w:hint="eastAsia"/>
                <w:kern w:val="0"/>
                <w:sz w:val="22"/>
              </w:rPr>
              <w:t>经济效益</w:t>
            </w:r>
          </w:p>
        </w:tc>
        <w:tc>
          <w:tcPr>
            <w:tcW w:w="490" w:type="pct"/>
            <w:tcBorders>
              <w:top w:val="single" w:sz="4" w:space="0" w:color="auto"/>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D11</w:t>
            </w:r>
            <w:r>
              <w:rPr>
                <w:rFonts w:ascii="Times New Roman" w:eastAsia="方正楷体_GBK" w:hAnsi="Times New Roman" w:cs="方正楷体_GBK" w:hint="eastAsia"/>
                <w:kern w:val="0"/>
                <w:sz w:val="22"/>
              </w:rPr>
              <w:t>经济监测是否全面，监测数据的参考价值</w:t>
            </w:r>
          </w:p>
        </w:tc>
        <w:tc>
          <w:tcPr>
            <w:tcW w:w="795" w:type="pct"/>
            <w:tcBorders>
              <w:top w:val="single" w:sz="4" w:space="0" w:color="auto"/>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经济监测是否全面，监测数据的参考价值是否显著</w:t>
            </w:r>
          </w:p>
        </w:tc>
        <w:tc>
          <w:tcPr>
            <w:tcW w:w="163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经济监测是否全面，监测数据是否具体显著的参考价值。</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评分规则：</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考核履职带来的经济效益，采用定性评级的方法，评级为“全面具参考价值”得满分，评级为“较全面具参考”，得权重分的</w:t>
            </w:r>
            <w:r>
              <w:rPr>
                <w:rFonts w:ascii="Times New Roman" w:eastAsia="方正楷体_GBK" w:hAnsi="Times New Roman" w:cs="方正楷体_GBK" w:hint="eastAsia"/>
                <w:kern w:val="0"/>
                <w:sz w:val="22"/>
              </w:rPr>
              <w:t>60%</w:t>
            </w:r>
            <w:r>
              <w:rPr>
                <w:rFonts w:ascii="Times New Roman" w:eastAsia="方正楷体_GBK" w:hAnsi="Times New Roman" w:cs="方正楷体_GBK" w:hint="eastAsia"/>
                <w:kern w:val="0"/>
                <w:sz w:val="22"/>
              </w:rPr>
              <w:t>，评级为</w:t>
            </w:r>
            <w:r>
              <w:rPr>
                <w:rFonts w:ascii="Times New Roman" w:eastAsia="方正楷体_GBK" w:hAnsi="Times New Roman" w:cs="方正楷体_GBK" w:hint="eastAsia"/>
                <w:kern w:val="0"/>
                <w:sz w:val="22"/>
              </w:rPr>
              <w:t xml:space="preserve"> </w:t>
            </w:r>
            <w:r>
              <w:rPr>
                <w:rFonts w:ascii="Times New Roman" w:eastAsia="方正楷体_GBK" w:hAnsi="Times New Roman" w:cs="方正楷体_GBK" w:hint="eastAsia"/>
                <w:kern w:val="0"/>
                <w:sz w:val="22"/>
              </w:rPr>
              <w:t>“不全面缺乏参考价值”不得分。</w:t>
            </w:r>
          </w:p>
        </w:tc>
        <w:tc>
          <w:tcPr>
            <w:tcW w:w="277"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全面、具有参考价值</w:t>
            </w:r>
          </w:p>
        </w:tc>
        <w:tc>
          <w:tcPr>
            <w:tcW w:w="26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4</w:t>
            </w:r>
          </w:p>
        </w:tc>
        <w:tc>
          <w:tcPr>
            <w:tcW w:w="26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4</w:t>
            </w:r>
          </w:p>
        </w:tc>
        <w:tc>
          <w:tcPr>
            <w:tcW w:w="691"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经济监测全面，监测数据的参考价值。</w:t>
            </w:r>
          </w:p>
        </w:tc>
      </w:tr>
      <w:tr w:rsidR="001A79DF">
        <w:trPr>
          <w:trHeight w:val="23"/>
        </w:trPr>
        <w:tc>
          <w:tcPr>
            <w:tcW w:w="263" w:type="pct"/>
            <w:vMerge/>
            <w:tcBorders>
              <w:left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val="restart"/>
            <w:tcBorders>
              <w:top w:val="single" w:sz="4" w:space="0" w:color="auto"/>
              <w:left w:val="nil"/>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D2</w:t>
            </w:r>
            <w:r>
              <w:rPr>
                <w:rFonts w:ascii="Times New Roman" w:eastAsia="方正楷体_GBK" w:hAnsi="Times New Roman" w:cs="方正楷体_GBK" w:hint="eastAsia"/>
                <w:kern w:val="0"/>
                <w:sz w:val="22"/>
              </w:rPr>
              <w:t>社会效益</w:t>
            </w:r>
          </w:p>
        </w:tc>
        <w:tc>
          <w:tcPr>
            <w:tcW w:w="49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D21</w:t>
            </w:r>
            <w:r>
              <w:rPr>
                <w:rFonts w:ascii="Times New Roman" w:eastAsia="方正楷体_GBK" w:hAnsi="Times New Roman" w:cs="方正楷体_GBK" w:hint="eastAsia"/>
                <w:kern w:val="0"/>
                <w:sz w:val="22"/>
              </w:rPr>
              <w:t>粮食质量安全</w:t>
            </w:r>
          </w:p>
        </w:tc>
        <w:tc>
          <w:tcPr>
            <w:tcW w:w="795"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考察确保粮食质量安全工作情况</w:t>
            </w:r>
          </w:p>
        </w:tc>
        <w:tc>
          <w:tcPr>
            <w:tcW w:w="163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未发生不合格粮食不流入口粮市场的情形。</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评分规则：</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未发生不合格粮食不流入口粮市场得满分，发生粮食安全事件不得分。</w:t>
            </w:r>
          </w:p>
        </w:tc>
        <w:tc>
          <w:tcPr>
            <w:tcW w:w="277"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安全</w:t>
            </w:r>
          </w:p>
        </w:tc>
        <w:tc>
          <w:tcPr>
            <w:tcW w:w="26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4</w:t>
            </w:r>
          </w:p>
        </w:tc>
        <w:tc>
          <w:tcPr>
            <w:tcW w:w="26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4</w:t>
            </w:r>
          </w:p>
        </w:tc>
        <w:tc>
          <w:tcPr>
            <w:tcW w:w="691"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无不合格粮食流入口粮市场。</w:t>
            </w:r>
          </w:p>
        </w:tc>
      </w:tr>
      <w:tr w:rsidR="001A79DF">
        <w:trPr>
          <w:trHeight w:val="23"/>
        </w:trPr>
        <w:tc>
          <w:tcPr>
            <w:tcW w:w="263" w:type="pct"/>
            <w:vMerge/>
            <w:tcBorders>
              <w:left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left w:val="nil"/>
              <w:bottom w:val="nil"/>
              <w:right w:val="single" w:sz="4" w:space="0" w:color="auto"/>
            </w:tcBorders>
            <w:shd w:val="clear" w:color="000000" w:fill="FFFFFF"/>
            <w:vAlign w:val="center"/>
          </w:tcPr>
          <w:p w:rsidR="001A79DF" w:rsidRDefault="001A79DF">
            <w:pPr>
              <w:widowControl/>
              <w:spacing w:line="560" w:lineRule="exact"/>
              <w:ind w:firstLineChars="0" w:firstLine="0"/>
              <w:jc w:val="center"/>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D22</w:t>
            </w:r>
            <w:r>
              <w:rPr>
                <w:rFonts w:ascii="Times New Roman" w:eastAsia="方正楷体_GBK" w:hAnsi="Times New Roman" w:cs="方正楷体_GBK" w:hint="eastAsia"/>
                <w:kern w:val="0"/>
                <w:sz w:val="22"/>
              </w:rPr>
              <w:t>制定规划、政策是否符合经济社会发展要求，是否得到上级部门认可</w:t>
            </w:r>
          </w:p>
        </w:tc>
        <w:tc>
          <w:tcPr>
            <w:tcW w:w="795"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制定规划、政策是否符合经济社会发展要求，是否得到上级部门认可</w:t>
            </w:r>
          </w:p>
        </w:tc>
        <w:tc>
          <w:tcPr>
            <w:tcW w:w="163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制定规划、政策是否符合经济社会发展要求，是否得到上级部门认可。</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评分规则：</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制定规划、政策符合经济社会发展要求，得到上级部门认可得满分，否则不得分。</w:t>
            </w:r>
          </w:p>
        </w:tc>
        <w:tc>
          <w:tcPr>
            <w:tcW w:w="277"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认可</w:t>
            </w:r>
          </w:p>
        </w:tc>
        <w:tc>
          <w:tcPr>
            <w:tcW w:w="26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4</w:t>
            </w:r>
          </w:p>
        </w:tc>
        <w:tc>
          <w:tcPr>
            <w:tcW w:w="26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4</w:t>
            </w:r>
          </w:p>
        </w:tc>
        <w:tc>
          <w:tcPr>
            <w:tcW w:w="691"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结题</w:t>
            </w:r>
            <w:r>
              <w:rPr>
                <w:rFonts w:ascii="Times New Roman" w:eastAsia="方正楷体_GBK" w:hAnsi="Times New Roman" w:cs="方正楷体_GBK" w:hint="eastAsia"/>
                <w:kern w:val="0"/>
                <w:sz w:val="22"/>
              </w:rPr>
              <w:t>13</w:t>
            </w:r>
            <w:r>
              <w:rPr>
                <w:rFonts w:ascii="Times New Roman" w:eastAsia="方正楷体_GBK" w:hAnsi="Times New Roman" w:cs="方正楷体_GBK" w:hint="eastAsia"/>
                <w:kern w:val="0"/>
                <w:sz w:val="22"/>
              </w:rPr>
              <w:t>篇中期研究课题报告。市级以上刊物刊发</w:t>
            </w:r>
            <w:r>
              <w:rPr>
                <w:rFonts w:ascii="Times New Roman" w:eastAsia="方正楷体_GBK" w:hAnsi="Times New Roman" w:cs="方正楷体_GBK" w:hint="eastAsia"/>
                <w:kern w:val="0"/>
                <w:sz w:val="22"/>
              </w:rPr>
              <w:t>11</w:t>
            </w:r>
            <w:r>
              <w:rPr>
                <w:rFonts w:ascii="Times New Roman" w:eastAsia="方正楷体_GBK" w:hAnsi="Times New Roman" w:cs="方正楷体_GBK" w:hint="eastAsia"/>
                <w:kern w:val="0"/>
                <w:sz w:val="22"/>
              </w:rPr>
              <w:t>篇。</w:t>
            </w:r>
          </w:p>
        </w:tc>
      </w:tr>
      <w:tr w:rsidR="001A79DF">
        <w:trPr>
          <w:trHeight w:val="23"/>
        </w:trPr>
        <w:tc>
          <w:tcPr>
            <w:tcW w:w="263" w:type="pct"/>
            <w:vMerge/>
            <w:tcBorders>
              <w:left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D3</w:t>
            </w:r>
            <w:r>
              <w:rPr>
                <w:rFonts w:ascii="Times New Roman" w:eastAsia="方正楷体_GBK" w:hAnsi="Times New Roman" w:cs="方正楷体_GBK" w:hint="eastAsia"/>
                <w:kern w:val="0"/>
                <w:sz w:val="22"/>
              </w:rPr>
              <w:t>可持续发展</w:t>
            </w:r>
          </w:p>
        </w:tc>
        <w:tc>
          <w:tcPr>
            <w:tcW w:w="49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D31</w:t>
            </w:r>
            <w:r>
              <w:rPr>
                <w:rFonts w:ascii="Times New Roman" w:eastAsia="方正楷体_GBK" w:hAnsi="Times New Roman" w:cs="方正楷体_GBK" w:hint="eastAsia"/>
                <w:kern w:val="0"/>
                <w:sz w:val="22"/>
              </w:rPr>
              <w:t>部门信息化建设</w:t>
            </w:r>
          </w:p>
        </w:tc>
        <w:tc>
          <w:tcPr>
            <w:tcW w:w="795"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考核：①是否建有预算管理系统、综合办公系统、政府采购系统、监测统计系统等信息系统；②有关信息系统是否能够实现有机衔接；③有关信息系统是否提高了履职效率。</w:t>
            </w:r>
          </w:p>
        </w:tc>
        <w:tc>
          <w:tcPr>
            <w:tcW w:w="163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r>
              <w:rPr>
                <w:rFonts w:ascii="Times New Roman" w:eastAsia="方正楷体_GBK" w:hAnsi="Times New Roman" w:cs="方正楷体_GBK" w:hint="eastAsia"/>
                <w:kern w:val="0"/>
                <w:sz w:val="22"/>
              </w:rPr>
              <w:br/>
              <w:t>1</w:t>
            </w:r>
            <w:r>
              <w:rPr>
                <w:rFonts w:ascii="Times New Roman" w:eastAsia="方正楷体_GBK" w:hAnsi="Times New Roman" w:cs="方正楷体_GBK" w:hint="eastAsia"/>
                <w:kern w:val="0"/>
                <w:sz w:val="22"/>
              </w:rPr>
              <w:t>．建有预算管理系统、综合办公系统、政府采购系统、监测统计系统等信息系统；</w:t>
            </w:r>
            <w:r>
              <w:rPr>
                <w:rFonts w:ascii="Times New Roman" w:eastAsia="方正楷体_GBK" w:hAnsi="Times New Roman" w:cs="方正楷体_GBK" w:hint="eastAsia"/>
                <w:kern w:val="0"/>
                <w:sz w:val="22"/>
              </w:rPr>
              <w:br/>
              <w:t>2</w:t>
            </w:r>
            <w:r>
              <w:rPr>
                <w:rFonts w:ascii="Times New Roman" w:eastAsia="方正楷体_GBK" w:hAnsi="Times New Roman" w:cs="方正楷体_GBK" w:hint="eastAsia"/>
                <w:kern w:val="0"/>
                <w:sz w:val="22"/>
              </w:rPr>
              <w:t>．有关信息系统能够实现有机衔接；</w:t>
            </w:r>
            <w:r>
              <w:rPr>
                <w:rFonts w:ascii="Times New Roman" w:eastAsia="方正楷体_GBK" w:hAnsi="Times New Roman" w:cs="方正楷体_GBK" w:hint="eastAsia"/>
                <w:kern w:val="0"/>
                <w:sz w:val="22"/>
              </w:rPr>
              <w:br/>
              <w:t>3</w:t>
            </w:r>
            <w:r>
              <w:rPr>
                <w:rFonts w:ascii="Times New Roman" w:eastAsia="方正楷体_GBK" w:hAnsi="Times New Roman" w:cs="方正楷体_GBK" w:hint="eastAsia"/>
                <w:kern w:val="0"/>
                <w:sz w:val="22"/>
              </w:rPr>
              <w:t>．有关信息系统提高了履职效率。</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评分规则：</w:t>
            </w:r>
          </w:p>
          <w:p w:rsidR="001A79DF" w:rsidRDefault="00E70674">
            <w:pPr>
              <w:widowControl/>
              <w:spacing w:line="560" w:lineRule="exact"/>
              <w:ind w:firstLineChars="0" w:firstLine="0"/>
              <w:jc w:val="left"/>
            </w:pPr>
            <w:r>
              <w:rPr>
                <w:rFonts w:ascii="Times New Roman" w:eastAsia="方正楷体_GBK" w:hAnsi="Times New Roman" w:cs="方正楷体_GBK" w:hint="eastAsia"/>
                <w:kern w:val="0"/>
                <w:sz w:val="22"/>
              </w:rPr>
              <w:t>以上内容各占</w:t>
            </w:r>
            <w:r>
              <w:rPr>
                <w:rFonts w:ascii="Times New Roman" w:eastAsia="方正楷体_GBK" w:hAnsi="Times New Roman" w:cs="方正楷体_GBK" w:hint="eastAsia"/>
                <w:kern w:val="0"/>
                <w:sz w:val="22"/>
              </w:rPr>
              <w:t>1/3</w:t>
            </w:r>
            <w:r>
              <w:rPr>
                <w:rFonts w:ascii="Times New Roman" w:eastAsia="方正楷体_GBK" w:hAnsi="Times New Roman" w:cs="方正楷体_GBK" w:hint="eastAsia"/>
                <w:kern w:val="0"/>
                <w:sz w:val="22"/>
              </w:rPr>
              <w:t>权重分，符合则得分，不符合则按实际完成情况以权重比例扣分。</w:t>
            </w:r>
          </w:p>
        </w:tc>
        <w:tc>
          <w:tcPr>
            <w:tcW w:w="277"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高度建设</w:t>
            </w:r>
          </w:p>
        </w:tc>
        <w:tc>
          <w:tcPr>
            <w:tcW w:w="26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3</w:t>
            </w:r>
          </w:p>
        </w:tc>
        <w:tc>
          <w:tcPr>
            <w:tcW w:w="26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3</w:t>
            </w:r>
          </w:p>
        </w:tc>
        <w:tc>
          <w:tcPr>
            <w:tcW w:w="691"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建有预算管理系统、综合办公系统等信息系统，并实现有机衔接，提高了履职效率。</w:t>
            </w:r>
          </w:p>
        </w:tc>
      </w:tr>
      <w:tr w:rsidR="001A79DF">
        <w:trPr>
          <w:trHeight w:val="23"/>
        </w:trPr>
        <w:tc>
          <w:tcPr>
            <w:tcW w:w="263" w:type="pct"/>
            <w:vMerge/>
            <w:tcBorders>
              <w:left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single" w:sz="4" w:space="0" w:color="auto"/>
              <w:left w:val="single" w:sz="4" w:space="0" w:color="auto"/>
              <w:bottom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D32</w:t>
            </w:r>
            <w:r>
              <w:rPr>
                <w:rFonts w:ascii="Times New Roman" w:eastAsia="方正楷体_GBK" w:hAnsi="Times New Roman" w:cs="方正楷体_GBK" w:hint="eastAsia"/>
                <w:kern w:val="0"/>
                <w:sz w:val="22"/>
              </w:rPr>
              <w:t>部门创新情况</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考核是否通过制度创新、方法创新等方式不断提高</w:t>
            </w:r>
            <w:proofErr w:type="gramStart"/>
            <w:r>
              <w:rPr>
                <w:rFonts w:ascii="Times New Roman" w:eastAsia="方正楷体_GBK" w:hAnsi="Times New Roman" w:cs="方正楷体_GBK" w:hint="eastAsia"/>
                <w:kern w:val="0"/>
                <w:sz w:val="22"/>
              </w:rPr>
              <w:t>履</w:t>
            </w:r>
            <w:proofErr w:type="gramEnd"/>
            <w:r>
              <w:rPr>
                <w:rFonts w:ascii="Times New Roman" w:eastAsia="方正楷体_GBK" w:hAnsi="Times New Roman" w:cs="方正楷体_GBK" w:hint="eastAsia"/>
                <w:kern w:val="0"/>
                <w:sz w:val="22"/>
              </w:rPr>
              <w:t>职能力</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通过制度创新、方法创新等方式不断提高</w:t>
            </w:r>
            <w:proofErr w:type="gramStart"/>
            <w:r>
              <w:rPr>
                <w:rFonts w:ascii="Times New Roman" w:eastAsia="方正楷体_GBK" w:hAnsi="Times New Roman" w:cs="方正楷体_GBK" w:hint="eastAsia"/>
                <w:kern w:val="0"/>
                <w:sz w:val="22"/>
              </w:rPr>
              <w:t>履</w:t>
            </w:r>
            <w:proofErr w:type="gramEnd"/>
            <w:r>
              <w:rPr>
                <w:rFonts w:ascii="Times New Roman" w:eastAsia="方正楷体_GBK" w:hAnsi="Times New Roman" w:cs="方正楷体_GBK" w:hint="eastAsia"/>
                <w:kern w:val="0"/>
                <w:sz w:val="22"/>
              </w:rPr>
              <w:t>职能力。</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lastRenderedPageBreak/>
              <w:t>评分规则：</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存在制度创新、方法创新得满分；无创新项则不得分。</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创新</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3</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0</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无相关制度创新、方法创新举措。</w:t>
            </w:r>
          </w:p>
        </w:tc>
      </w:tr>
      <w:tr w:rsidR="001A79DF">
        <w:trPr>
          <w:trHeight w:val="23"/>
        </w:trPr>
        <w:tc>
          <w:tcPr>
            <w:tcW w:w="263" w:type="pct"/>
            <w:vMerge/>
            <w:tcBorders>
              <w:left w:val="single" w:sz="4" w:space="0" w:color="auto"/>
              <w:right w:val="single" w:sz="4" w:space="0" w:color="auto"/>
            </w:tcBorders>
            <w:shd w:val="clear" w:color="000000" w:fill="FFFFFF"/>
            <w:vAlign w:val="center"/>
          </w:tcPr>
          <w:p w:rsidR="001A79DF" w:rsidRDefault="001A79DF">
            <w:pPr>
              <w:widowControl/>
              <w:spacing w:line="560" w:lineRule="exact"/>
              <w:ind w:firstLineChars="0" w:firstLine="0"/>
              <w:jc w:val="center"/>
              <w:rPr>
                <w:rFonts w:ascii="Times New Roman" w:eastAsia="方正楷体_GBK" w:hAnsi="Times New Roman" w:cs="方正楷体_GBK"/>
                <w:kern w:val="0"/>
                <w:sz w:val="22"/>
              </w:rPr>
            </w:pPr>
          </w:p>
        </w:tc>
        <w:tc>
          <w:tcPr>
            <w:tcW w:w="321" w:type="pct"/>
            <w:vMerge w:val="restart"/>
            <w:tcBorders>
              <w:top w:val="nil"/>
              <w:left w:val="single" w:sz="4" w:space="0" w:color="auto"/>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D4</w:t>
            </w:r>
            <w:r>
              <w:rPr>
                <w:rFonts w:ascii="Times New Roman" w:eastAsia="方正楷体_GBK" w:hAnsi="Times New Roman" w:cs="方正楷体_GBK" w:hint="eastAsia"/>
                <w:kern w:val="0"/>
                <w:sz w:val="22"/>
              </w:rPr>
              <w:t>服务对象满意度</w:t>
            </w:r>
          </w:p>
        </w:tc>
        <w:tc>
          <w:tcPr>
            <w:tcW w:w="49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E11</w:t>
            </w:r>
            <w:r>
              <w:rPr>
                <w:rFonts w:ascii="Times New Roman" w:eastAsia="方正楷体_GBK" w:hAnsi="Times New Roman" w:cs="方正楷体_GBK" w:hint="eastAsia"/>
                <w:kern w:val="0"/>
                <w:sz w:val="22"/>
              </w:rPr>
              <w:t>政务热线工作绩效考评</w:t>
            </w:r>
          </w:p>
        </w:tc>
        <w:tc>
          <w:tcPr>
            <w:tcW w:w="795"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考核公众对部门的满意度。</w:t>
            </w:r>
          </w:p>
        </w:tc>
        <w:tc>
          <w:tcPr>
            <w:tcW w:w="163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公众对部门履职的满意度为满意。</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评分规则：</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公众对</w:t>
            </w:r>
            <w:proofErr w:type="gramStart"/>
            <w:r>
              <w:rPr>
                <w:rFonts w:ascii="Times New Roman" w:eastAsia="方正楷体_GBK" w:hAnsi="Times New Roman" w:cs="方正楷体_GBK" w:hint="eastAsia"/>
                <w:kern w:val="0"/>
                <w:sz w:val="22"/>
              </w:rPr>
              <w:t>市发改委</w:t>
            </w:r>
            <w:proofErr w:type="gramEnd"/>
            <w:r>
              <w:rPr>
                <w:rFonts w:ascii="Times New Roman" w:eastAsia="方正楷体_GBK" w:hAnsi="Times New Roman" w:cs="方正楷体_GBK" w:hint="eastAsia"/>
                <w:kern w:val="0"/>
                <w:sz w:val="22"/>
              </w:rPr>
              <w:t>的履职情况达到满意得满分，否则酌情扣分。</w:t>
            </w:r>
          </w:p>
        </w:tc>
        <w:tc>
          <w:tcPr>
            <w:tcW w:w="277"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满意</w:t>
            </w:r>
          </w:p>
        </w:tc>
        <w:tc>
          <w:tcPr>
            <w:tcW w:w="264"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3</w:t>
            </w:r>
          </w:p>
        </w:tc>
        <w:tc>
          <w:tcPr>
            <w:tcW w:w="260"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3</w:t>
            </w:r>
          </w:p>
        </w:tc>
        <w:tc>
          <w:tcPr>
            <w:tcW w:w="691" w:type="pct"/>
            <w:tcBorders>
              <w:top w:val="nil"/>
              <w:left w:val="nil"/>
              <w:bottom w:val="single" w:sz="4" w:space="0" w:color="auto"/>
              <w:right w:val="single" w:sz="4" w:space="0" w:color="auto"/>
            </w:tcBorders>
            <w:shd w:val="clear" w:color="auto" w:fill="auto"/>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公众对部门的满意度为满意。</w:t>
            </w:r>
          </w:p>
        </w:tc>
      </w:tr>
      <w:tr w:rsidR="001A79DF">
        <w:trPr>
          <w:trHeight w:val="23"/>
        </w:trPr>
        <w:tc>
          <w:tcPr>
            <w:tcW w:w="263" w:type="pct"/>
            <w:vMerge/>
            <w:tcBorders>
              <w:left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nil"/>
              <w:left w:val="single" w:sz="4" w:space="0" w:color="auto"/>
              <w:bottom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E12</w:t>
            </w:r>
            <w:proofErr w:type="gramStart"/>
            <w:r>
              <w:rPr>
                <w:rFonts w:ascii="Times New Roman" w:eastAsia="方正楷体_GBK" w:hAnsi="Times New Roman" w:cs="方正楷体_GBK" w:hint="eastAsia"/>
                <w:kern w:val="0"/>
                <w:sz w:val="22"/>
              </w:rPr>
              <w:t>省发改委综合</w:t>
            </w:r>
            <w:proofErr w:type="gramEnd"/>
            <w:r>
              <w:rPr>
                <w:rFonts w:ascii="Times New Roman" w:eastAsia="方正楷体_GBK" w:hAnsi="Times New Roman" w:cs="方正楷体_GBK" w:hint="eastAsia"/>
                <w:kern w:val="0"/>
                <w:sz w:val="22"/>
              </w:rPr>
              <w:t>考评、市级机关绩效考评</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考核上级部门对部门的满意度</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上级部门对</w:t>
            </w:r>
            <w:proofErr w:type="gramStart"/>
            <w:r>
              <w:rPr>
                <w:rFonts w:ascii="Times New Roman" w:eastAsia="方正楷体_GBK" w:hAnsi="Times New Roman" w:cs="方正楷体_GBK" w:hint="eastAsia"/>
                <w:kern w:val="0"/>
                <w:sz w:val="22"/>
              </w:rPr>
              <w:t>市发改委</w:t>
            </w:r>
            <w:proofErr w:type="gramEnd"/>
            <w:r>
              <w:rPr>
                <w:rFonts w:ascii="Times New Roman" w:eastAsia="方正楷体_GBK" w:hAnsi="Times New Roman" w:cs="方正楷体_GBK" w:hint="eastAsia"/>
                <w:kern w:val="0"/>
                <w:sz w:val="22"/>
              </w:rPr>
              <w:t>的履职情况满意。</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评分规则：</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上级部门对</w:t>
            </w:r>
            <w:proofErr w:type="gramStart"/>
            <w:r>
              <w:rPr>
                <w:rFonts w:ascii="Times New Roman" w:eastAsia="方正楷体_GBK" w:hAnsi="Times New Roman" w:cs="方正楷体_GBK" w:hint="eastAsia"/>
                <w:kern w:val="0"/>
                <w:sz w:val="22"/>
              </w:rPr>
              <w:t>市发改委</w:t>
            </w:r>
            <w:proofErr w:type="gramEnd"/>
            <w:r>
              <w:rPr>
                <w:rFonts w:ascii="Times New Roman" w:eastAsia="方正楷体_GBK" w:hAnsi="Times New Roman" w:cs="方正楷体_GBK" w:hint="eastAsia"/>
                <w:kern w:val="0"/>
                <w:sz w:val="22"/>
              </w:rPr>
              <w:t>的履职情况达到满意得满</w:t>
            </w:r>
            <w:r>
              <w:rPr>
                <w:rFonts w:ascii="Times New Roman" w:eastAsia="方正楷体_GBK" w:hAnsi="Times New Roman" w:cs="方正楷体_GBK" w:hint="eastAsia"/>
                <w:kern w:val="0"/>
                <w:sz w:val="22"/>
              </w:rPr>
              <w:lastRenderedPageBreak/>
              <w:t>分，否则酌情扣分。</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lastRenderedPageBreak/>
              <w:t>满意</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3</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3</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上级部门对部门的满意度为满意。</w:t>
            </w:r>
          </w:p>
        </w:tc>
      </w:tr>
      <w:tr w:rsidR="001A79DF">
        <w:trPr>
          <w:trHeight w:val="23"/>
        </w:trPr>
        <w:tc>
          <w:tcPr>
            <w:tcW w:w="263" w:type="pct"/>
            <w:vMerge/>
            <w:tcBorders>
              <w:left w:val="single" w:sz="4" w:space="0" w:color="auto"/>
              <w:bottom w:val="single" w:sz="4" w:space="0" w:color="000000"/>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vMerge/>
            <w:tcBorders>
              <w:top w:val="nil"/>
              <w:left w:val="single" w:sz="4" w:space="0" w:color="auto"/>
              <w:bottom w:val="single" w:sz="4" w:space="0" w:color="auto"/>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E13</w:t>
            </w:r>
            <w:r>
              <w:rPr>
                <w:rFonts w:ascii="Times New Roman" w:eastAsia="方正楷体_GBK" w:hAnsi="Times New Roman" w:cs="方正楷体_GBK" w:hint="eastAsia"/>
                <w:kern w:val="0"/>
                <w:sz w:val="22"/>
              </w:rPr>
              <w:t>部门人员满意度</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考核部门人员的满意度</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评价要点：</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部门人员对部门整体的满意度为满意。</w:t>
            </w:r>
            <w:r>
              <w:rPr>
                <w:rFonts w:ascii="Times New Roman" w:eastAsia="方正楷体_GBK" w:hAnsi="Times New Roman" w:cs="方正楷体_GBK" w:hint="eastAsia"/>
                <w:kern w:val="0"/>
                <w:sz w:val="22"/>
              </w:rPr>
              <w:br/>
            </w:r>
            <w:r>
              <w:rPr>
                <w:rFonts w:ascii="Times New Roman" w:eastAsia="方正楷体_GBK" w:hAnsi="Times New Roman" w:cs="方正楷体_GBK" w:hint="eastAsia"/>
                <w:kern w:val="0"/>
                <w:sz w:val="22"/>
              </w:rPr>
              <w:t>评分规则：</w:t>
            </w:r>
          </w:p>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部门人员满意度达到满意得满分，否则酌情扣分。</w:t>
            </w:r>
          </w:p>
        </w:tc>
        <w:tc>
          <w:tcPr>
            <w:tcW w:w="277"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满意</w:t>
            </w: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3</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3</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部门人员满意度为满意。</w:t>
            </w:r>
          </w:p>
        </w:tc>
      </w:tr>
      <w:tr w:rsidR="001A79DF">
        <w:trPr>
          <w:trHeight w:val="23"/>
        </w:trPr>
        <w:tc>
          <w:tcPr>
            <w:tcW w:w="1074" w:type="pct"/>
            <w:gridSpan w:val="3"/>
            <w:tcBorders>
              <w:top w:val="single" w:sz="4" w:space="0" w:color="auto"/>
              <w:left w:val="single" w:sz="4" w:space="0" w:color="auto"/>
              <w:bottom w:val="single" w:sz="4" w:space="0" w:color="auto"/>
              <w:right w:val="single" w:sz="4" w:space="0" w:color="000000"/>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合计</w:t>
            </w:r>
          </w:p>
        </w:tc>
        <w:tc>
          <w:tcPr>
            <w:tcW w:w="795" w:type="pct"/>
            <w:tcBorders>
              <w:top w:val="nil"/>
              <w:left w:val="nil"/>
              <w:bottom w:val="single" w:sz="4" w:space="0" w:color="auto"/>
              <w:right w:val="single" w:sz="4" w:space="0" w:color="auto"/>
            </w:tcBorders>
            <w:shd w:val="clear" w:color="000000" w:fill="FFFFFF"/>
            <w:vAlign w:val="center"/>
          </w:tcPr>
          <w:p w:rsidR="001A79DF" w:rsidRDefault="001A79DF">
            <w:pPr>
              <w:widowControl/>
              <w:spacing w:line="560" w:lineRule="exact"/>
              <w:ind w:firstLineChars="0" w:firstLine="0"/>
              <w:jc w:val="center"/>
              <w:rPr>
                <w:rFonts w:ascii="Times New Roman" w:eastAsia="方正楷体_GBK" w:hAnsi="Times New Roman" w:cs="方正楷体_GBK"/>
                <w:b/>
                <w:bCs/>
                <w:kern w:val="0"/>
                <w:sz w:val="22"/>
              </w:rPr>
            </w:pPr>
          </w:p>
        </w:tc>
        <w:tc>
          <w:tcPr>
            <w:tcW w:w="1634" w:type="pct"/>
            <w:tcBorders>
              <w:top w:val="nil"/>
              <w:left w:val="nil"/>
              <w:bottom w:val="single" w:sz="4" w:space="0" w:color="auto"/>
              <w:right w:val="single" w:sz="4" w:space="0" w:color="auto"/>
            </w:tcBorders>
            <w:shd w:val="clear" w:color="000000" w:fill="FFFFFF"/>
            <w:vAlign w:val="center"/>
          </w:tcPr>
          <w:p w:rsidR="001A79DF" w:rsidRDefault="001A79DF">
            <w:pPr>
              <w:widowControl/>
              <w:spacing w:line="560" w:lineRule="exact"/>
              <w:ind w:firstLineChars="0" w:firstLine="0"/>
              <w:jc w:val="left"/>
              <w:rPr>
                <w:rFonts w:ascii="Times New Roman" w:eastAsia="方正楷体_GBK" w:hAnsi="Times New Roman" w:cs="方正楷体_GBK"/>
                <w:b/>
                <w:bCs/>
                <w:kern w:val="0"/>
                <w:sz w:val="22"/>
              </w:rPr>
            </w:pPr>
          </w:p>
        </w:tc>
        <w:tc>
          <w:tcPr>
            <w:tcW w:w="277" w:type="pct"/>
            <w:tcBorders>
              <w:top w:val="nil"/>
              <w:left w:val="nil"/>
              <w:bottom w:val="single" w:sz="4" w:space="0" w:color="auto"/>
              <w:right w:val="single" w:sz="4" w:space="0" w:color="auto"/>
            </w:tcBorders>
            <w:shd w:val="clear" w:color="000000" w:fill="FFFFFF"/>
            <w:vAlign w:val="center"/>
          </w:tcPr>
          <w:p w:rsidR="001A79DF" w:rsidRDefault="001A79DF">
            <w:pPr>
              <w:widowControl/>
              <w:spacing w:line="560" w:lineRule="exact"/>
              <w:ind w:firstLineChars="0" w:firstLine="0"/>
              <w:jc w:val="center"/>
              <w:rPr>
                <w:rFonts w:ascii="Times New Roman" w:eastAsia="方正楷体_GBK" w:hAnsi="Times New Roman" w:cs="方正楷体_GBK"/>
                <w:b/>
                <w:bCs/>
                <w:kern w:val="0"/>
                <w:sz w:val="22"/>
              </w:rPr>
            </w:pP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b/>
                <w:bCs/>
                <w:kern w:val="0"/>
                <w:sz w:val="22"/>
              </w:rPr>
            </w:pPr>
            <w:r>
              <w:rPr>
                <w:rFonts w:ascii="Times New Roman" w:eastAsia="方正楷体_GBK" w:hAnsi="Times New Roman" w:cs="方正楷体_GBK" w:hint="eastAsia"/>
                <w:b/>
                <w:bCs/>
                <w:kern w:val="0"/>
                <w:sz w:val="22"/>
              </w:rPr>
              <w:t>100</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b/>
                <w:bCs/>
                <w:kern w:val="0"/>
                <w:sz w:val="22"/>
              </w:rPr>
            </w:pPr>
            <w:r>
              <w:rPr>
                <w:rFonts w:ascii="Times New Roman" w:eastAsia="方正楷体_GBK" w:hAnsi="Times New Roman" w:cs="方正楷体_GBK" w:hint="eastAsia"/>
                <w:b/>
                <w:bCs/>
                <w:kern w:val="0"/>
                <w:sz w:val="22"/>
              </w:rPr>
              <w:t>94.12</w:t>
            </w:r>
          </w:p>
        </w:tc>
        <w:tc>
          <w:tcPr>
            <w:tcW w:w="691" w:type="pct"/>
            <w:tcBorders>
              <w:top w:val="nil"/>
              <w:left w:val="nil"/>
              <w:bottom w:val="single" w:sz="4" w:space="0" w:color="auto"/>
              <w:right w:val="single" w:sz="4" w:space="0" w:color="auto"/>
            </w:tcBorders>
            <w:shd w:val="clear" w:color="000000" w:fill="FFFFFF"/>
            <w:vAlign w:val="center"/>
          </w:tcPr>
          <w:p w:rsidR="001A79DF" w:rsidRDefault="001A79DF">
            <w:pPr>
              <w:widowControl/>
              <w:spacing w:line="560" w:lineRule="exact"/>
              <w:ind w:firstLineChars="0" w:firstLine="0"/>
              <w:jc w:val="left"/>
              <w:rPr>
                <w:rFonts w:ascii="Times New Roman" w:eastAsia="方正楷体_GBK" w:hAnsi="Times New Roman" w:cs="方正楷体_GBK"/>
                <w:b/>
                <w:bCs/>
                <w:kern w:val="0"/>
                <w:sz w:val="22"/>
              </w:rPr>
            </w:pPr>
          </w:p>
        </w:tc>
      </w:tr>
      <w:tr w:rsidR="001A79DF">
        <w:trPr>
          <w:trHeight w:val="23"/>
        </w:trPr>
        <w:tc>
          <w:tcPr>
            <w:tcW w:w="263" w:type="pct"/>
            <w:vMerge w:val="restart"/>
            <w:tcBorders>
              <w:top w:val="nil"/>
              <w:left w:val="single" w:sz="4" w:space="0" w:color="auto"/>
              <w:bottom w:val="single" w:sz="4" w:space="0" w:color="000000"/>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加减分项</w:t>
            </w:r>
          </w:p>
        </w:tc>
        <w:tc>
          <w:tcPr>
            <w:tcW w:w="32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加分项</w:t>
            </w: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受到本级与上级政府奖励</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部门受到国务院、省级、市级嘉奖</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受到国务院嘉奖加</w:t>
            </w:r>
            <w:r>
              <w:rPr>
                <w:rFonts w:ascii="Times New Roman" w:eastAsia="方正楷体_GBK" w:hAnsi="Times New Roman" w:cs="方正楷体_GBK" w:hint="eastAsia"/>
                <w:kern w:val="0"/>
                <w:sz w:val="22"/>
              </w:rPr>
              <w:t>3</w:t>
            </w:r>
            <w:r>
              <w:rPr>
                <w:rFonts w:ascii="Times New Roman" w:eastAsia="方正楷体_GBK" w:hAnsi="Times New Roman" w:cs="方正楷体_GBK" w:hint="eastAsia"/>
                <w:kern w:val="0"/>
                <w:sz w:val="22"/>
              </w:rPr>
              <w:t>分，受到省级嘉奖加</w:t>
            </w:r>
            <w:r>
              <w:rPr>
                <w:rFonts w:ascii="Times New Roman" w:eastAsia="方正楷体_GBK" w:hAnsi="Times New Roman" w:cs="方正楷体_GBK" w:hint="eastAsia"/>
                <w:kern w:val="0"/>
                <w:sz w:val="22"/>
              </w:rPr>
              <w:t>2</w:t>
            </w:r>
            <w:r>
              <w:rPr>
                <w:rFonts w:ascii="Times New Roman" w:eastAsia="方正楷体_GBK" w:hAnsi="Times New Roman" w:cs="方正楷体_GBK" w:hint="eastAsia"/>
                <w:kern w:val="0"/>
                <w:sz w:val="22"/>
              </w:rPr>
              <w:t>分，得到市级考核一等奖加</w:t>
            </w:r>
            <w:r>
              <w:rPr>
                <w:rFonts w:ascii="Times New Roman" w:eastAsia="方正楷体_GBK" w:hAnsi="Times New Roman" w:cs="方正楷体_GBK" w:hint="eastAsia"/>
                <w:kern w:val="0"/>
                <w:sz w:val="22"/>
              </w:rPr>
              <w:t>1</w:t>
            </w:r>
            <w:r>
              <w:rPr>
                <w:rFonts w:ascii="Times New Roman" w:eastAsia="方正楷体_GBK" w:hAnsi="Times New Roman" w:cs="方正楷体_GBK" w:hint="eastAsia"/>
                <w:kern w:val="0"/>
                <w:sz w:val="22"/>
              </w:rPr>
              <w:t>分，得到市级考核二等奖加</w:t>
            </w:r>
            <w:r>
              <w:rPr>
                <w:rFonts w:ascii="Times New Roman" w:eastAsia="方正楷体_GBK" w:hAnsi="Times New Roman" w:cs="方正楷体_GBK" w:hint="eastAsia"/>
                <w:kern w:val="0"/>
                <w:sz w:val="22"/>
              </w:rPr>
              <w:t>0</w:t>
            </w:r>
            <w:r>
              <w:rPr>
                <w:rFonts w:ascii="Times New Roman" w:eastAsia="方正楷体_GBK" w:hAnsi="Times New Roman" w:cs="方正楷体_GBK" w:hint="eastAsia"/>
                <w:kern w:val="0"/>
                <w:sz w:val="22"/>
              </w:rPr>
              <w:t>．</w:t>
            </w:r>
            <w:r>
              <w:rPr>
                <w:rFonts w:ascii="Times New Roman" w:eastAsia="方正楷体_GBK" w:hAnsi="Times New Roman" w:cs="方正楷体_GBK" w:hint="eastAsia"/>
                <w:kern w:val="0"/>
                <w:sz w:val="22"/>
              </w:rPr>
              <w:t>5</w:t>
            </w:r>
            <w:r>
              <w:rPr>
                <w:rFonts w:ascii="Times New Roman" w:eastAsia="方正楷体_GBK" w:hAnsi="Times New Roman" w:cs="方正楷体_GBK" w:hint="eastAsia"/>
                <w:kern w:val="0"/>
                <w:sz w:val="22"/>
              </w:rPr>
              <w:t>分；同一项工作</w:t>
            </w:r>
            <w:proofErr w:type="gramStart"/>
            <w:r>
              <w:rPr>
                <w:rFonts w:ascii="Times New Roman" w:eastAsia="方正楷体_GBK" w:hAnsi="Times New Roman" w:cs="方正楷体_GBK" w:hint="eastAsia"/>
                <w:kern w:val="0"/>
                <w:sz w:val="22"/>
              </w:rPr>
              <w:t>不</w:t>
            </w:r>
            <w:proofErr w:type="gramEnd"/>
            <w:r>
              <w:rPr>
                <w:rFonts w:ascii="Times New Roman" w:eastAsia="方正楷体_GBK" w:hAnsi="Times New Roman" w:cs="方正楷体_GBK" w:hint="eastAsia"/>
                <w:kern w:val="0"/>
                <w:sz w:val="22"/>
              </w:rPr>
              <w:t>累计加分。</w:t>
            </w:r>
          </w:p>
        </w:tc>
        <w:tc>
          <w:tcPr>
            <w:tcW w:w="277" w:type="pct"/>
            <w:tcBorders>
              <w:top w:val="nil"/>
              <w:left w:val="nil"/>
              <w:bottom w:val="single" w:sz="4" w:space="0" w:color="auto"/>
              <w:right w:val="single" w:sz="4" w:space="0" w:color="auto"/>
            </w:tcBorders>
            <w:shd w:val="clear" w:color="000000" w:fill="FFFFFF"/>
            <w:vAlign w:val="center"/>
          </w:tcPr>
          <w:p w:rsidR="001A79DF" w:rsidRDefault="001A79DF">
            <w:pPr>
              <w:widowControl/>
              <w:spacing w:line="560" w:lineRule="exact"/>
              <w:ind w:firstLineChars="0" w:firstLine="0"/>
              <w:jc w:val="center"/>
              <w:rPr>
                <w:rFonts w:ascii="Times New Roman" w:eastAsia="方正楷体_GBK" w:hAnsi="Times New Roman" w:cs="方正楷体_GBK"/>
                <w:kern w:val="0"/>
                <w:sz w:val="22"/>
              </w:rPr>
            </w:pP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5</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1</w:t>
            </w:r>
          </w:p>
        </w:tc>
        <w:tc>
          <w:tcPr>
            <w:tcW w:w="69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市级考核一等奖</w:t>
            </w:r>
          </w:p>
        </w:tc>
      </w:tr>
      <w:tr w:rsidR="001A79DF">
        <w:trPr>
          <w:trHeight w:val="23"/>
        </w:trPr>
        <w:tc>
          <w:tcPr>
            <w:tcW w:w="263" w:type="pct"/>
            <w:vMerge/>
            <w:tcBorders>
              <w:top w:val="nil"/>
              <w:left w:val="single" w:sz="4" w:space="0" w:color="auto"/>
              <w:bottom w:val="single" w:sz="4" w:space="0" w:color="000000"/>
              <w:right w:val="single" w:sz="4" w:space="0" w:color="auto"/>
            </w:tcBorders>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c>
          <w:tcPr>
            <w:tcW w:w="321"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减分项</w:t>
            </w:r>
          </w:p>
        </w:tc>
        <w:tc>
          <w:tcPr>
            <w:tcW w:w="49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违法违纪</w:t>
            </w:r>
          </w:p>
        </w:tc>
        <w:tc>
          <w:tcPr>
            <w:tcW w:w="795"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部门或工作人员违法违纪情况</w:t>
            </w:r>
          </w:p>
        </w:tc>
        <w:tc>
          <w:tcPr>
            <w:tcW w:w="163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left"/>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发生一次部门或工作人员违法违纪，扣</w:t>
            </w:r>
            <w:r>
              <w:rPr>
                <w:rFonts w:ascii="Times New Roman" w:eastAsia="方正楷体_GBK" w:hAnsi="Times New Roman" w:cs="方正楷体_GBK" w:hint="eastAsia"/>
                <w:kern w:val="0"/>
                <w:sz w:val="22"/>
              </w:rPr>
              <w:t>2</w:t>
            </w:r>
            <w:r>
              <w:rPr>
                <w:rFonts w:ascii="Times New Roman" w:eastAsia="方正楷体_GBK" w:hAnsi="Times New Roman" w:cs="方正楷体_GBK" w:hint="eastAsia"/>
                <w:kern w:val="0"/>
                <w:sz w:val="22"/>
              </w:rPr>
              <w:t>分，扣完</w:t>
            </w:r>
            <w:r>
              <w:rPr>
                <w:rFonts w:ascii="Times New Roman" w:eastAsia="方正楷体_GBK" w:hAnsi="Times New Roman" w:cs="方正楷体_GBK" w:hint="eastAsia"/>
                <w:kern w:val="0"/>
                <w:sz w:val="22"/>
              </w:rPr>
              <w:t>5</w:t>
            </w:r>
            <w:r>
              <w:rPr>
                <w:rFonts w:ascii="Times New Roman" w:eastAsia="方正楷体_GBK" w:hAnsi="Times New Roman" w:cs="方正楷体_GBK" w:hint="eastAsia"/>
                <w:kern w:val="0"/>
                <w:sz w:val="22"/>
              </w:rPr>
              <w:t>分为止。</w:t>
            </w:r>
          </w:p>
        </w:tc>
        <w:tc>
          <w:tcPr>
            <w:tcW w:w="277" w:type="pct"/>
            <w:tcBorders>
              <w:top w:val="nil"/>
              <w:left w:val="nil"/>
              <w:bottom w:val="single" w:sz="4" w:space="0" w:color="auto"/>
              <w:right w:val="single" w:sz="4" w:space="0" w:color="auto"/>
            </w:tcBorders>
            <w:shd w:val="clear" w:color="000000" w:fill="FFFFFF"/>
            <w:vAlign w:val="center"/>
          </w:tcPr>
          <w:p w:rsidR="001A79DF" w:rsidRDefault="001A79DF">
            <w:pPr>
              <w:widowControl/>
              <w:spacing w:line="560" w:lineRule="exact"/>
              <w:ind w:firstLineChars="0" w:firstLine="0"/>
              <w:jc w:val="center"/>
              <w:rPr>
                <w:rFonts w:ascii="Times New Roman" w:eastAsia="方正楷体_GBK" w:hAnsi="Times New Roman" w:cs="方正楷体_GBK"/>
                <w:kern w:val="0"/>
                <w:sz w:val="22"/>
              </w:rPr>
            </w:pP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-5</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kern w:val="0"/>
                <w:sz w:val="22"/>
              </w:rPr>
            </w:pPr>
            <w:r>
              <w:rPr>
                <w:rFonts w:ascii="Times New Roman" w:eastAsia="方正楷体_GBK" w:hAnsi="Times New Roman" w:cs="方正楷体_GBK" w:hint="eastAsia"/>
                <w:kern w:val="0"/>
                <w:sz w:val="22"/>
              </w:rPr>
              <w:t>0</w:t>
            </w:r>
          </w:p>
        </w:tc>
        <w:tc>
          <w:tcPr>
            <w:tcW w:w="691" w:type="pct"/>
            <w:tcBorders>
              <w:top w:val="nil"/>
              <w:left w:val="nil"/>
              <w:bottom w:val="single" w:sz="4" w:space="0" w:color="auto"/>
              <w:right w:val="single" w:sz="4" w:space="0" w:color="auto"/>
            </w:tcBorders>
            <w:shd w:val="clear" w:color="000000" w:fill="FFFFFF"/>
            <w:vAlign w:val="center"/>
          </w:tcPr>
          <w:p w:rsidR="001A79DF" w:rsidRDefault="001A79DF">
            <w:pPr>
              <w:widowControl/>
              <w:spacing w:line="560" w:lineRule="exact"/>
              <w:ind w:firstLineChars="0" w:firstLine="0"/>
              <w:jc w:val="left"/>
              <w:rPr>
                <w:rFonts w:ascii="Times New Roman" w:eastAsia="方正楷体_GBK" w:hAnsi="Times New Roman" w:cs="方正楷体_GBK"/>
                <w:kern w:val="0"/>
                <w:sz w:val="22"/>
              </w:rPr>
            </w:pPr>
          </w:p>
        </w:tc>
      </w:tr>
      <w:tr w:rsidR="001A79DF">
        <w:trPr>
          <w:trHeight w:val="23"/>
        </w:trPr>
        <w:tc>
          <w:tcPr>
            <w:tcW w:w="1074" w:type="pct"/>
            <w:gridSpan w:val="3"/>
            <w:tcBorders>
              <w:top w:val="single" w:sz="4" w:space="0" w:color="auto"/>
              <w:left w:val="single" w:sz="4" w:space="0" w:color="auto"/>
              <w:bottom w:val="single" w:sz="4" w:space="0" w:color="auto"/>
              <w:right w:val="single" w:sz="4" w:space="0" w:color="000000"/>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b/>
                <w:bCs/>
                <w:kern w:val="0"/>
                <w:sz w:val="22"/>
              </w:rPr>
            </w:pPr>
            <w:r>
              <w:rPr>
                <w:rFonts w:ascii="Times New Roman" w:eastAsia="方正楷体_GBK" w:hAnsi="Times New Roman" w:cs="方正楷体_GBK" w:hint="eastAsia"/>
                <w:b/>
                <w:bCs/>
                <w:kern w:val="0"/>
                <w:sz w:val="22"/>
              </w:rPr>
              <w:lastRenderedPageBreak/>
              <w:t>合计</w:t>
            </w:r>
          </w:p>
        </w:tc>
        <w:tc>
          <w:tcPr>
            <w:tcW w:w="795" w:type="pct"/>
            <w:tcBorders>
              <w:top w:val="nil"/>
              <w:left w:val="nil"/>
              <w:bottom w:val="single" w:sz="4" w:space="0" w:color="auto"/>
              <w:right w:val="single" w:sz="4" w:space="0" w:color="auto"/>
            </w:tcBorders>
            <w:shd w:val="clear" w:color="000000" w:fill="FFFFFF"/>
            <w:vAlign w:val="center"/>
          </w:tcPr>
          <w:p w:rsidR="001A79DF" w:rsidRDefault="001A79DF">
            <w:pPr>
              <w:widowControl/>
              <w:spacing w:line="560" w:lineRule="exact"/>
              <w:ind w:firstLineChars="0" w:firstLine="0"/>
              <w:jc w:val="center"/>
              <w:rPr>
                <w:rFonts w:ascii="Times New Roman" w:eastAsia="方正楷体_GBK" w:hAnsi="Times New Roman" w:cs="方正楷体_GBK"/>
                <w:b/>
                <w:bCs/>
                <w:kern w:val="0"/>
                <w:sz w:val="22"/>
              </w:rPr>
            </w:pPr>
          </w:p>
        </w:tc>
        <w:tc>
          <w:tcPr>
            <w:tcW w:w="1634" w:type="pct"/>
            <w:tcBorders>
              <w:top w:val="nil"/>
              <w:left w:val="nil"/>
              <w:bottom w:val="single" w:sz="4" w:space="0" w:color="auto"/>
              <w:right w:val="single" w:sz="4" w:space="0" w:color="auto"/>
            </w:tcBorders>
            <w:shd w:val="clear" w:color="000000" w:fill="FFFFFF"/>
            <w:vAlign w:val="center"/>
          </w:tcPr>
          <w:p w:rsidR="001A79DF" w:rsidRDefault="001A79DF">
            <w:pPr>
              <w:widowControl/>
              <w:spacing w:line="560" w:lineRule="exact"/>
              <w:ind w:firstLineChars="0" w:firstLine="0"/>
              <w:jc w:val="left"/>
              <w:rPr>
                <w:rFonts w:ascii="Times New Roman" w:eastAsia="方正楷体_GBK" w:hAnsi="Times New Roman" w:cs="方正楷体_GBK"/>
                <w:b/>
                <w:bCs/>
                <w:kern w:val="0"/>
                <w:sz w:val="22"/>
              </w:rPr>
            </w:pPr>
          </w:p>
        </w:tc>
        <w:tc>
          <w:tcPr>
            <w:tcW w:w="277" w:type="pct"/>
            <w:tcBorders>
              <w:top w:val="nil"/>
              <w:left w:val="nil"/>
              <w:bottom w:val="single" w:sz="4" w:space="0" w:color="auto"/>
              <w:right w:val="single" w:sz="4" w:space="0" w:color="auto"/>
            </w:tcBorders>
            <w:shd w:val="clear" w:color="000000" w:fill="FFFFFF"/>
            <w:vAlign w:val="center"/>
          </w:tcPr>
          <w:p w:rsidR="001A79DF" w:rsidRDefault="001A79DF">
            <w:pPr>
              <w:widowControl/>
              <w:spacing w:line="560" w:lineRule="exact"/>
              <w:ind w:firstLineChars="0" w:firstLine="0"/>
              <w:jc w:val="center"/>
              <w:rPr>
                <w:rFonts w:ascii="Times New Roman" w:eastAsia="方正楷体_GBK" w:hAnsi="Times New Roman" w:cs="方正楷体_GBK"/>
                <w:b/>
                <w:bCs/>
                <w:kern w:val="0"/>
                <w:sz w:val="22"/>
              </w:rPr>
            </w:pPr>
          </w:p>
        </w:tc>
        <w:tc>
          <w:tcPr>
            <w:tcW w:w="264"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b/>
                <w:bCs/>
                <w:kern w:val="0"/>
                <w:sz w:val="22"/>
              </w:rPr>
            </w:pPr>
            <w:r>
              <w:rPr>
                <w:rFonts w:ascii="Times New Roman" w:eastAsia="方正楷体_GBK" w:hAnsi="Times New Roman" w:cs="方正楷体_GBK" w:hint="eastAsia"/>
                <w:b/>
                <w:bCs/>
                <w:kern w:val="0"/>
                <w:sz w:val="22"/>
              </w:rPr>
              <w:t>100</w:t>
            </w:r>
          </w:p>
        </w:tc>
        <w:tc>
          <w:tcPr>
            <w:tcW w:w="260" w:type="pct"/>
            <w:tcBorders>
              <w:top w:val="nil"/>
              <w:left w:val="nil"/>
              <w:bottom w:val="single" w:sz="4" w:space="0" w:color="auto"/>
              <w:right w:val="single" w:sz="4" w:space="0" w:color="auto"/>
            </w:tcBorders>
            <w:shd w:val="clear" w:color="000000" w:fill="FFFFFF"/>
            <w:vAlign w:val="center"/>
          </w:tcPr>
          <w:p w:rsidR="001A79DF" w:rsidRDefault="00E70674">
            <w:pPr>
              <w:widowControl/>
              <w:spacing w:line="560" w:lineRule="exact"/>
              <w:ind w:firstLineChars="0" w:firstLine="0"/>
              <w:jc w:val="center"/>
              <w:rPr>
                <w:rFonts w:ascii="Times New Roman" w:eastAsia="方正楷体_GBK" w:hAnsi="Times New Roman" w:cs="方正楷体_GBK"/>
                <w:b/>
                <w:bCs/>
                <w:kern w:val="0"/>
                <w:sz w:val="22"/>
              </w:rPr>
            </w:pPr>
            <w:r>
              <w:rPr>
                <w:rFonts w:ascii="Times New Roman" w:eastAsia="方正楷体_GBK" w:hAnsi="Times New Roman" w:cs="方正楷体_GBK" w:hint="eastAsia"/>
                <w:b/>
                <w:bCs/>
                <w:kern w:val="0"/>
                <w:sz w:val="22"/>
              </w:rPr>
              <w:t>95.12</w:t>
            </w:r>
          </w:p>
        </w:tc>
        <w:tc>
          <w:tcPr>
            <w:tcW w:w="691" w:type="pct"/>
            <w:tcBorders>
              <w:top w:val="nil"/>
              <w:left w:val="nil"/>
              <w:bottom w:val="single" w:sz="4" w:space="0" w:color="auto"/>
              <w:right w:val="single" w:sz="4" w:space="0" w:color="auto"/>
            </w:tcBorders>
            <w:shd w:val="clear" w:color="000000" w:fill="FFFFFF"/>
            <w:vAlign w:val="center"/>
          </w:tcPr>
          <w:p w:rsidR="001A79DF" w:rsidRDefault="001A79DF">
            <w:pPr>
              <w:widowControl/>
              <w:spacing w:line="560" w:lineRule="exact"/>
              <w:ind w:firstLineChars="0" w:firstLine="0"/>
              <w:jc w:val="left"/>
              <w:rPr>
                <w:rFonts w:ascii="Times New Roman" w:eastAsia="方正楷体_GBK" w:hAnsi="Times New Roman" w:cs="方正楷体_GBK"/>
                <w:b/>
                <w:bCs/>
                <w:kern w:val="0"/>
                <w:sz w:val="22"/>
              </w:rPr>
            </w:pPr>
          </w:p>
        </w:tc>
      </w:tr>
    </w:tbl>
    <w:p w:rsidR="001A79DF" w:rsidRDefault="001A79DF">
      <w:pPr>
        <w:spacing w:line="560" w:lineRule="exact"/>
        <w:ind w:firstLine="640"/>
        <w:rPr>
          <w:rFonts w:ascii="Times New Roman" w:hAnsi="Times New Roman" w:cs="方正仿宋_GBK"/>
          <w:sz w:val="32"/>
          <w:szCs w:val="32"/>
        </w:rPr>
      </w:pPr>
    </w:p>
    <w:sectPr w:rsidR="001A79DF">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6C30" w:rsidRDefault="00C86C30">
      <w:pPr>
        <w:spacing w:line="240" w:lineRule="auto"/>
        <w:ind w:firstLine="600"/>
      </w:pPr>
      <w:r>
        <w:separator/>
      </w:r>
    </w:p>
  </w:endnote>
  <w:endnote w:type="continuationSeparator" w:id="0">
    <w:p w:rsidR="00C86C30" w:rsidRDefault="00C86C30">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charset w:val="86"/>
    <w:family w:val="script"/>
    <w:pitch w:val="default"/>
    <w:sig w:usb0="00000001" w:usb1="080E0000" w:usb2="00000000" w:usb3="00000000" w:csb0="00040000" w:csb1="00000000"/>
  </w:font>
  <w:font w:name="Arial">
    <w:panose1 w:val="020B0604020202020204"/>
    <w:charset w:val="00"/>
    <w:family w:val="swiss"/>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Times New Roman Regular">
    <w:altName w:val="Times New Roman"/>
    <w:charset w:val="00"/>
    <w:family w:val="auto"/>
    <w:pitch w:val="default"/>
    <w:sig w:usb0="00000000" w:usb1="00000000" w:usb2="00000001" w:usb3="00000000" w:csb0="400001BF" w:csb1="DFF70000"/>
  </w:font>
  <w:font w:name="方正公文小标宋">
    <w:altName w:val="Arial Unicode MS"/>
    <w:charset w:val="86"/>
    <w:family w:val="auto"/>
    <w:pitch w:val="default"/>
    <w:sig w:usb0="00000000" w:usb1="0000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9DF" w:rsidRDefault="00E70674" w:rsidP="00ED6CF1">
    <w:pPr>
      <w:pStyle w:val="ab"/>
      <w:ind w:firstLine="360"/>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A79DF" w:rsidRDefault="00E70674" w:rsidP="00ED6CF1">
                          <w:pPr>
                            <w:pStyle w:val="ab"/>
                            <w:ind w:firstLine="360"/>
                          </w:pPr>
                          <w:r>
                            <w:fldChar w:fldCharType="begin"/>
                          </w:r>
                          <w:r>
                            <w:instrText xml:space="preserve"> PAGE  \* MERGEFORMAT </w:instrText>
                          </w:r>
                          <w:r>
                            <w:fldChar w:fldCharType="separate"/>
                          </w:r>
                          <w:r w:rsidR="00700976">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1A79DF" w:rsidRDefault="00E70674" w:rsidP="00ED6CF1">
                    <w:pPr>
                      <w:pStyle w:val="ab"/>
                      <w:ind w:firstLine="360"/>
                    </w:pPr>
                    <w:r>
                      <w:fldChar w:fldCharType="begin"/>
                    </w:r>
                    <w:r>
                      <w:instrText xml:space="preserve"> PAGE  \* MERGEFORMAT </w:instrText>
                    </w:r>
                    <w:r>
                      <w:fldChar w:fldCharType="separate"/>
                    </w:r>
                    <w:r w:rsidR="00700976">
                      <w:rPr>
                        <w:noProof/>
                      </w:rP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6C30" w:rsidRDefault="00C86C30">
      <w:pPr>
        <w:spacing w:line="240" w:lineRule="auto"/>
        <w:ind w:firstLine="600"/>
      </w:pPr>
      <w:r>
        <w:separator/>
      </w:r>
    </w:p>
  </w:footnote>
  <w:footnote w:type="continuationSeparator" w:id="0">
    <w:p w:rsidR="00C86C30" w:rsidRDefault="00C86C30">
      <w:pPr>
        <w:spacing w:line="240" w:lineRule="auto"/>
        <w:ind w:firstLine="60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F08D62"/>
    <w:multiLevelType w:val="multilevel"/>
    <w:tmpl w:val="BFF08D62"/>
    <w:lvl w:ilvl="0">
      <w:start w:val="1"/>
      <w:numFmt w:val="chineseCounting"/>
      <w:pStyle w:val="a"/>
      <w:suff w:val="nothing"/>
      <w:lvlText w:val="%1、"/>
      <w:lvlJc w:val="left"/>
      <w:pPr>
        <w:tabs>
          <w:tab w:val="left" w:pos="0"/>
        </w:tabs>
        <w:ind w:left="0" w:firstLine="0"/>
      </w:pPr>
      <w:rPr>
        <w:rFonts w:eastAsia="方正黑体_GBK" w:hint="eastAsia"/>
        <w:sz w:val="32"/>
        <w:szCs w:val="32"/>
      </w:rPr>
    </w:lvl>
    <w:lvl w:ilvl="1">
      <w:start w:val="1"/>
      <w:numFmt w:val="chineseCounting"/>
      <w:suff w:val="space"/>
      <w:lvlText w:val="（%2）"/>
      <w:lvlJc w:val="left"/>
      <w:pPr>
        <w:ind w:left="0" w:firstLine="0"/>
      </w:pPr>
      <w:rPr>
        <w:rFonts w:eastAsia="方正楷体_GBK" w:hint="eastAsia"/>
        <w:sz w:val="32"/>
        <w:szCs w:val="32"/>
      </w:rPr>
    </w:lvl>
    <w:lvl w:ilvl="2">
      <w:start w:val="1"/>
      <w:numFmt w:val="decimal"/>
      <w:suff w:val="nothing"/>
      <w:lvlText w:val="%3．"/>
      <w:lvlJc w:val="left"/>
      <w:pPr>
        <w:ind w:left="0" w:firstLine="0"/>
      </w:pPr>
      <w:rPr>
        <w:rFonts w:eastAsia="方正仿宋_GBK" w:hint="eastAsia"/>
        <w:sz w:val="32"/>
        <w:szCs w:val="32"/>
      </w:rPr>
    </w:lvl>
    <w:lvl w:ilvl="3">
      <w:start w:val="1"/>
      <w:numFmt w:val="decimal"/>
      <w:isLgl/>
      <w:suff w:val="nothing"/>
      <w:lvlText w:val="（%4）"/>
      <w:lvlJc w:val="left"/>
      <w:pPr>
        <w:ind w:left="0" w:firstLine="0"/>
      </w:pPr>
      <w:rPr>
        <w:rFonts w:eastAsia="方正仿宋_GBK" w:hint="eastAsia"/>
        <w:sz w:val="32"/>
        <w:szCs w:val="32"/>
      </w:rPr>
    </w:lvl>
    <w:lvl w:ilvl="4">
      <w:start w:val="1"/>
      <w:numFmt w:val="decimalEnclosedCircleChinese"/>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1">
    <w:nsid w:val="FFD0EF2F"/>
    <w:multiLevelType w:val="singleLevel"/>
    <w:tmpl w:val="FFD0EF2F"/>
    <w:lvl w:ilvl="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4A6ACF"/>
    <w:rsid w:val="664A6ACF"/>
    <w:rsid w:val="B9A71755"/>
    <w:rsid w:val="B9EBF976"/>
    <w:rsid w:val="BD5ED052"/>
    <w:rsid w:val="BDFFCDB5"/>
    <w:rsid w:val="BF2F7A45"/>
    <w:rsid w:val="BFBECBD0"/>
    <w:rsid w:val="D5BCC270"/>
    <w:rsid w:val="D9DBD52F"/>
    <w:rsid w:val="DB5AF57E"/>
    <w:rsid w:val="DEF718E9"/>
    <w:rsid w:val="DFDE2136"/>
    <w:rsid w:val="E06E259C"/>
    <w:rsid w:val="E7DCD881"/>
    <w:rsid w:val="EBFB337D"/>
    <w:rsid w:val="EF6FFE05"/>
    <w:rsid w:val="F5EF9878"/>
    <w:rsid w:val="F77D5A65"/>
    <w:rsid w:val="F7B61C0C"/>
    <w:rsid w:val="F7D7EDF2"/>
    <w:rsid w:val="F967096A"/>
    <w:rsid w:val="FBFFB01C"/>
    <w:rsid w:val="FDB76F17"/>
    <w:rsid w:val="FFBEB055"/>
    <w:rsid w:val="FFE7FCD9"/>
    <w:rsid w:val="FFF7AD37"/>
    <w:rsid w:val="FFFFF9A4"/>
    <w:rsid w:val="00076D72"/>
    <w:rsid w:val="000B611A"/>
    <w:rsid w:val="000C541A"/>
    <w:rsid w:val="00180BCE"/>
    <w:rsid w:val="00191366"/>
    <w:rsid w:val="001A79DF"/>
    <w:rsid w:val="001F065D"/>
    <w:rsid w:val="00233D63"/>
    <w:rsid w:val="002C4CE7"/>
    <w:rsid w:val="002E649C"/>
    <w:rsid w:val="002E6A8A"/>
    <w:rsid w:val="003620C2"/>
    <w:rsid w:val="003A3156"/>
    <w:rsid w:val="003E5EB0"/>
    <w:rsid w:val="00416EBB"/>
    <w:rsid w:val="00487F81"/>
    <w:rsid w:val="004B2E51"/>
    <w:rsid w:val="00524655"/>
    <w:rsid w:val="006B1336"/>
    <w:rsid w:val="00700976"/>
    <w:rsid w:val="00814383"/>
    <w:rsid w:val="008178A9"/>
    <w:rsid w:val="00871592"/>
    <w:rsid w:val="00884C32"/>
    <w:rsid w:val="00890AFF"/>
    <w:rsid w:val="00893551"/>
    <w:rsid w:val="00895984"/>
    <w:rsid w:val="008B2A8B"/>
    <w:rsid w:val="008C3827"/>
    <w:rsid w:val="00990CC6"/>
    <w:rsid w:val="009E6221"/>
    <w:rsid w:val="00A11777"/>
    <w:rsid w:val="00B307E4"/>
    <w:rsid w:val="00B50A6B"/>
    <w:rsid w:val="00C158A8"/>
    <w:rsid w:val="00C309A1"/>
    <w:rsid w:val="00C40BD0"/>
    <w:rsid w:val="00C52AA1"/>
    <w:rsid w:val="00C86C30"/>
    <w:rsid w:val="00CA6895"/>
    <w:rsid w:val="00CE44AB"/>
    <w:rsid w:val="00CF265B"/>
    <w:rsid w:val="00D338C9"/>
    <w:rsid w:val="00D77805"/>
    <w:rsid w:val="00DC265A"/>
    <w:rsid w:val="00E165D3"/>
    <w:rsid w:val="00E44CC8"/>
    <w:rsid w:val="00E70674"/>
    <w:rsid w:val="00EC3996"/>
    <w:rsid w:val="00ED30DE"/>
    <w:rsid w:val="00ED6CF1"/>
    <w:rsid w:val="00EF3890"/>
    <w:rsid w:val="00F21725"/>
    <w:rsid w:val="00F553C9"/>
    <w:rsid w:val="00FA4639"/>
    <w:rsid w:val="00FF4C56"/>
    <w:rsid w:val="014A2741"/>
    <w:rsid w:val="01582D32"/>
    <w:rsid w:val="01731813"/>
    <w:rsid w:val="01BF1C4F"/>
    <w:rsid w:val="01FA46E8"/>
    <w:rsid w:val="022F562C"/>
    <w:rsid w:val="02896D7B"/>
    <w:rsid w:val="02AA10D5"/>
    <w:rsid w:val="03564C72"/>
    <w:rsid w:val="035F1B98"/>
    <w:rsid w:val="038F201C"/>
    <w:rsid w:val="03E372A5"/>
    <w:rsid w:val="0496609D"/>
    <w:rsid w:val="04B77D52"/>
    <w:rsid w:val="04CE3A4C"/>
    <w:rsid w:val="04ED3F39"/>
    <w:rsid w:val="0592758C"/>
    <w:rsid w:val="05BD7122"/>
    <w:rsid w:val="05CA7BCB"/>
    <w:rsid w:val="06493C2C"/>
    <w:rsid w:val="06A36D5A"/>
    <w:rsid w:val="07750AAC"/>
    <w:rsid w:val="086F16D6"/>
    <w:rsid w:val="08CB3856"/>
    <w:rsid w:val="0950479C"/>
    <w:rsid w:val="097C42A9"/>
    <w:rsid w:val="09987FE5"/>
    <w:rsid w:val="09B06556"/>
    <w:rsid w:val="09B54D26"/>
    <w:rsid w:val="09BE3344"/>
    <w:rsid w:val="0A166E5C"/>
    <w:rsid w:val="0A174BB3"/>
    <w:rsid w:val="0A425029"/>
    <w:rsid w:val="0A6F2B7C"/>
    <w:rsid w:val="0A720EE4"/>
    <w:rsid w:val="0A885B12"/>
    <w:rsid w:val="0B544D01"/>
    <w:rsid w:val="0B7A7EC7"/>
    <w:rsid w:val="0BBB7930"/>
    <w:rsid w:val="0BF605C6"/>
    <w:rsid w:val="0C3372DC"/>
    <w:rsid w:val="0C7A65FA"/>
    <w:rsid w:val="0CF036D9"/>
    <w:rsid w:val="0D4F066C"/>
    <w:rsid w:val="0D551AD2"/>
    <w:rsid w:val="0D583C43"/>
    <w:rsid w:val="0E0B5025"/>
    <w:rsid w:val="0E2066D3"/>
    <w:rsid w:val="0E8D1261"/>
    <w:rsid w:val="0EEC17C0"/>
    <w:rsid w:val="0F0B7357"/>
    <w:rsid w:val="0FC21062"/>
    <w:rsid w:val="10532C72"/>
    <w:rsid w:val="10951265"/>
    <w:rsid w:val="11073D0F"/>
    <w:rsid w:val="11473708"/>
    <w:rsid w:val="11617BBE"/>
    <w:rsid w:val="11C55F39"/>
    <w:rsid w:val="11CE71A9"/>
    <w:rsid w:val="12135034"/>
    <w:rsid w:val="122B281B"/>
    <w:rsid w:val="122D27E7"/>
    <w:rsid w:val="12375A2F"/>
    <w:rsid w:val="12642A89"/>
    <w:rsid w:val="12682FD0"/>
    <w:rsid w:val="12F4735A"/>
    <w:rsid w:val="13F44C74"/>
    <w:rsid w:val="14814665"/>
    <w:rsid w:val="150E3B77"/>
    <w:rsid w:val="154024F1"/>
    <w:rsid w:val="15402EAD"/>
    <w:rsid w:val="157A21A1"/>
    <w:rsid w:val="159369FA"/>
    <w:rsid w:val="15E204F6"/>
    <w:rsid w:val="16BF52AA"/>
    <w:rsid w:val="171046CC"/>
    <w:rsid w:val="17851F3A"/>
    <w:rsid w:val="178A784A"/>
    <w:rsid w:val="18444705"/>
    <w:rsid w:val="186A6ED2"/>
    <w:rsid w:val="18734093"/>
    <w:rsid w:val="187C7721"/>
    <w:rsid w:val="187F4F00"/>
    <w:rsid w:val="18D82F6D"/>
    <w:rsid w:val="18FB4C66"/>
    <w:rsid w:val="191B52AD"/>
    <w:rsid w:val="19710F5F"/>
    <w:rsid w:val="197971D6"/>
    <w:rsid w:val="19F04154"/>
    <w:rsid w:val="19F95DB1"/>
    <w:rsid w:val="1A2E360D"/>
    <w:rsid w:val="1A9C779F"/>
    <w:rsid w:val="1AEF0E6D"/>
    <w:rsid w:val="1B16678A"/>
    <w:rsid w:val="1B3F1E3F"/>
    <w:rsid w:val="1B447E13"/>
    <w:rsid w:val="1B4C67EA"/>
    <w:rsid w:val="1BA36A5C"/>
    <w:rsid w:val="1BC16352"/>
    <w:rsid w:val="1BFA5FF5"/>
    <w:rsid w:val="1C216569"/>
    <w:rsid w:val="1C820612"/>
    <w:rsid w:val="1CCE6FEF"/>
    <w:rsid w:val="1CD36599"/>
    <w:rsid w:val="1CF40BF4"/>
    <w:rsid w:val="1D4619CC"/>
    <w:rsid w:val="1D7870D6"/>
    <w:rsid w:val="1D823637"/>
    <w:rsid w:val="1DA76FA2"/>
    <w:rsid w:val="1E2B60F5"/>
    <w:rsid w:val="1E356456"/>
    <w:rsid w:val="1E72337C"/>
    <w:rsid w:val="1E9D2C1C"/>
    <w:rsid w:val="1EEF0387"/>
    <w:rsid w:val="1F3D286B"/>
    <w:rsid w:val="1F5A1674"/>
    <w:rsid w:val="1F9E7064"/>
    <w:rsid w:val="1FB701B5"/>
    <w:rsid w:val="20AD4579"/>
    <w:rsid w:val="20B65EE7"/>
    <w:rsid w:val="20E07AB3"/>
    <w:rsid w:val="21A45C67"/>
    <w:rsid w:val="21A87DC6"/>
    <w:rsid w:val="22131C85"/>
    <w:rsid w:val="221F3A6D"/>
    <w:rsid w:val="222641F7"/>
    <w:rsid w:val="22601BBB"/>
    <w:rsid w:val="232A2984"/>
    <w:rsid w:val="238A52AC"/>
    <w:rsid w:val="23A51F12"/>
    <w:rsid w:val="240A62B9"/>
    <w:rsid w:val="243F6011"/>
    <w:rsid w:val="24807D6F"/>
    <w:rsid w:val="248C407D"/>
    <w:rsid w:val="249C40E4"/>
    <w:rsid w:val="24CC2729"/>
    <w:rsid w:val="24CF76F6"/>
    <w:rsid w:val="24EC25FC"/>
    <w:rsid w:val="25295B02"/>
    <w:rsid w:val="253633F5"/>
    <w:rsid w:val="25665B58"/>
    <w:rsid w:val="257C7979"/>
    <w:rsid w:val="25904FFB"/>
    <w:rsid w:val="26413512"/>
    <w:rsid w:val="26591456"/>
    <w:rsid w:val="266036E4"/>
    <w:rsid w:val="269A6006"/>
    <w:rsid w:val="26A677E6"/>
    <w:rsid w:val="26D46193"/>
    <w:rsid w:val="273046E9"/>
    <w:rsid w:val="27393268"/>
    <w:rsid w:val="28091F52"/>
    <w:rsid w:val="281E2CAA"/>
    <w:rsid w:val="286F3B43"/>
    <w:rsid w:val="287C23C7"/>
    <w:rsid w:val="28A87CAE"/>
    <w:rsid w:val="292B5A9A"/>
    <w:rsid w:val="293D6072"/>
    <w:rsid w:val="296C2259"/>
    <w:rsid w:val="29F25E21"/>
    <w:rsid w:val="2A174CE6"/>
    <w:rsid w:val="2A52389D"/>
    <w:rsid w:val="2A6C15F5"/>
    <w:rsid w:val="2AA63A9D"/>
    <w:rsid w:val="2AD558D9"/>
    <w:rsid w:val="2AEB17B1"/>
    <w:rsid w:val="2AFF28DA"/>
    <w:rsid w:val="2B102045"/>
    <w:rsid w:val="2B310CEE"/>
    <w:rsid w:val="2B383782"/>
    <w:rsid w:val="2BA923F6"/>
    <w:rsid w:val="2BDA61F5"/>
    <w:rsid w:val="2C43040F"/>
    <w:rsid w:val="2C7A4785"/>
    <w:rsid w:val="2CA351D9"/>
    <w:rsid w:val="2CFB72E1"/>
    <w:rsid w:val="2DC536CE"/>
    <w:rsid w:val="2DFF6D50"/>
    <w:rsid w:val="2E7A29F7"/>
    <w:rsid w:val="2E9C3B05"/>
    <w:rsid w:val="2EAD4426"/>
    <w:rsid w:val="2F1F7B1F"/>
    <w:rsid w:val="2F593F49"/>
    <w:rsid w:val="2F6C1DD0"/>
    <w:rsid w:val="2FC81D99"/>
    <w:rsid w:val="2FEA7DFF"/>
    <w:rsid w:val="2FF626FC"/>
    <w:rsid w:val="301E4BD9"/>
    <w:rsid w:val="30931322"/>
    <w:rsid w:val="31633505"/>
    <w:rsid w:val="31E24F96"/>
    <w:rsid w:val="31EF12BC"/>
    <w:rsid w:val="320711BA"/>
    <w:rsid w:val="320F1F7F"/>
    <w:rsid w:val="321E1DDB"/>
    <w:rsid w:val="32781B4D"/>
    <w:rsid w:val="3289792A"/>
    <w:rsid w:val="32996C4A"/>
    <w:rsid w:val="32D553D8"/>
    <w:rsid w:val="32E1183A"/>
    <w:rsid w:val="338B4F6B"/>
    <w:rsid w:val="33A23E38"/>
    <w:rsid w:val="343852D5"/>
    <w:rsid w:val="34467CF6"/>
    <w:rsid w:val="345C2282"/>
    <w:rsid w:val="34A82620"/>
    <w:rsid w:val="34C13B17"/>
    <w:rsid w:val="34C506AC"/>
    <w:rsid w:val="351E15C7"/>
    <w:rsid w:val="353A5AEA"/>
    <w:rsid w:val="357702F1"/>
    <w:rsid w:val="35935F8A"/>
    <w:rsid w:val="35F544D2"/>
    <w:rsid w:val="36025DED"/>
    <w:rsid w:val="36BF5392"/>
    <w:rsid w:val="36EA2DB6"/>
    <w:rsid w:val="36F35726"/>
    <w:rsid w:val="37425F90"/>
    <w:rsid w:val="37606889"/>
    <w:rsid w:val="37A36740"/>
    <w:rsid w:val="37DB51A3"/>
    <w:rsid w:val="3835792C"/>
    <w:rsid w:val="3892083C"/>
    <w:rsid w:val="38A325E3"/>
    <w:rsid w:val="38B04582"/>
    <w:rsid w:val="38DF2377"/>
    <w:rsid w:val="38FF14E9"/>
    <w:rsid w:val="392D5D9C"/>
    <w:rsid w:val="394968D6"/>
    <w:rsid w:val="3996445C"/>
    <w:rsid w:val="39C646D4"/>
    <w:rsid w:val="39FFFDFE"/>
    <w:rsid w:val="3A750526"/>
    <w:rsid w:val="3A8232AC"/>
    <w:rsid w:val="3AC3255A"/>
    <w:rsid w:val="3B1C136B"/>
    <w:rsid w:val="3B494D9F"/>
    <w:rsid w:val="3B712CF1"/>
    <w:rsid w:val="3B8333A6"/>
    <w:rsid w:val="3B8923A7"/>
    <w:rsid w:val="3B9C498B"/>
    <w:rsid w:val="3C5F2A20"/>
    <w:rsid w:val="3CB65160"/>
    <w:rsid w:val="3CB83A99"/>
    <w:rsid w:val="3CCC44DE"/>
    <w:rsid w:val="3CFF3212"/>
    <w:rsid w:val="3D01383E"/>
    <w:rsid w:val="3D2656C2"/>
    <w:rsid w:val="3D694E12"/>
    <w:rsid w:val="3D7019C0"/>
    <w:rsid w:val="3D787F52"/>
    <w:rsid w:val="3D7E3429"/>
    <w:rsid w:val="3E0129F8"/>
    <w:rsid w:val="3E0F1B09"/>
    <w:rsid w:val="3E85329D"/>
    <w:rsid w:val="3E8F2087"/>
    <w:rsid w:val="3EA07AFD"/>
    <w:rsid w:val="3EFF625B"/>
    <w:rsid w:val="3F54188C"/>
    <w:rsid w:val="3F59579A"/>
    <w:rsid w:val="3F635AFB"/>
    <w:rsid w:val="3F8B02A0"/>
    <w:rsid w:val="3FD82CD8"/>
    <w:rsid w:val="3FF0006C"/>
    <w:rsid w:val="3FF6A912"/>
    <w:rsid w:val="40101691"/>
    <w:rsid w:val="40313C07"/>
    <w:rsid w:val="40733625"/>
    <w:rsid w:val="40786298"/>
    <w:rsid w:val="40A36DD8"/>
    <w:rsid w:val="40EB4050"/>
    <w:rsid w:val="40EE26F1"/>
    <w:rsid w:val="40F64EEF"/>
    <w:rsid w:val="40FD3678"/>
    <w:rsid w:val="41165BB3"/>
    <w:rsid w:val="412A21D6"/>
    <w:rsid w:val="413568B3"/>
    <w:rsid w:val="41865775"/>
    <w:rsid w:val="418F1EC5"/>
    <w:rsid w:val="41E53F75"/>
    <w:rsid w:val="41F90870"/>
    <w:rsid w:val="426E0F0B"/>
    <w:rsid w:val="42CA7BA0"/>
    <w:rsid w:val="42DC1550"/>
    <w:rsid w:val="432B140B"/>
    <w:rsid w:val="4384336A"/>
    <w:rsid w:val="43A630D7"/>
    <w:rsid w:val="4410308D"/>
    <w:rsid w:val="444B08FD"/>
    <w:rsid w:val="44B83490"/>
    <w:rsid w:val="44D84530"/>
    <w:rsid w:val="44E0038E"/>
    <w:rsid w:val="44EA425D"/>
    <w:rsid w:val="453C6BB8"/>
    <w:rsid w:val="453D0321"/>
    <w:rsid w:val="45804B87"/>
    <w:rsid w:val="45E13D3D"/>
    <w:rsid w:val="460D16AA"/>
    <w:rsid w:val="46523545"/>
    <w:rsid w:val="46863258"/>
    <w:rsid w:val="46870420"/>
    <w:rsid w:val="47543110"/>
    <w:rsid w:val="47E512EC"/>
    <w:rsid w:val="48494618"/>
    <w:rsid w:val="48511B74"/>
    <w:rsid w:val="486C0435"/>
    <w:rsid w:val="48A02E4D"/>
    <w:rsid w:val="48C63B94"/>
    <w:rsid w:val="48E51B23"/>
    <w:rsid w:val="49071D53"/>
    <w:rsid w:val="49196410"/>
    <w:rsid w:val="493C2F8B"/>
    <w:rsid w:val="4A756E89"/>
    <w:rsid w:val="4A777186"/>
    <w:rsid w:val="4A897144"/>
    <w:rsid w:val="4AC30B90"/>
    <w:rsid w:val="4AE42E7D"/>
    <w:rsid w:val="4AE63466"/>
    <w:rsid w:val="4B546E13"/>
    <w:rsid w:val="4BB80170"/>
    <w:rsid w:val="4C766CB6"/>
    <w:rsid w:val="4C8A6D58"/>
    <w:rsid w:val="4CC96449"/>
    <w:rsid w:val="4CFF406A"/>
    <w:rsid w:val="4D3500FB"/>
    <w:rsid w:val="4D605570"/>
    <w:rsid w:val="4D6678FB"/>
    <w:rsid w:val="4D887C6E"/>
    <w:rsid w:val="4DBF2461"/>
    <w:rsid w:val="4DD068F3"/>
    <w:rsid w:val="4E110FD3"/>
    <w:rsid w:val="4E1D0DE6"/>
    <w:rsid w:val="4E8C69DC"/>
    <w:rsid w:val="4ECA3AF7"/>
    <w:rsid w:val="4F0273DA"/>
    <w:rsid w:val="4F6E7759"/>
    <w:rsid w:val="4FBCC26D"/>
    <w:rsid w:val="4FC13FA4"/>
    <w:rsid w:val="4FE662A0"/>
    <w:rsid w:val="4FF40B2A"/>
    <w:rsid w:val="4FFFFD8B"/>
    <w:rsid w:val="501149EB"/>
    <w:rsid w:val="501E7535"/>
    <w:rsid w:val="50475727"/>
    <w:rsid w:val="508A4159"/>
    <w:rsid w:val="509574E0"/>
    <w:rsid w:val="512D2300"/>
    <w:rsid w:val="514C7446"/>
    <w:rsid w:val="514F6505"/>
    <w:rsid w:val="51635057"/>
    <w:rsid w:val="5176258B"/>
    <w:rsid w:val="51943392"/>
    <w:rsid w:val="5198312C"/>
    <w:rsid w:val="51A16687"/>
    <w:rsid w:val="51BA67C8"/>
    <w:rsid w:val="51C14460"/>
    <w:rsid w:val="51C52380"/>
    <w:rsid w:val="51C709D0"/>
    <w:rsid w:val="51E05FA0"/>
    <w:rsid w:val="521B2721"/>
    <w:rsid w:val="52F25F71"/>
    <w:rsid w:val="537E1A2A"/>
    <w:rsid w:val="53AE08B2"/>
    <w:rsid w:val="541648AC"/>
    <w:rsid w:val="54264F44"/>
    <w:rsid w:val="547E62CB"/>
    <w:rsid w:val="548D1A91"/>
    <w:rsid w:val="549F01FC"/>
    <w:rsid w:val="54EB632F"/>
    <w:rsid w:val="55484810"/>
    <w:rsid w:val="55832A81"/>
    <w:rsid w:val="55AA7CB3"/>
    <w:rsid w:val="55DC644B"/>
    <w:rsid w:val="55F874D8"/>
    <w:rsid w:val="560D13C9"/>
    <w:rsid w:val="563C5106"/>
    <w:rsid w:val="56641C00"/>
    <w:rsid w:val="56970143"/>
    <w:rsid w:val="57936A2A"/>
    <w:rsid w:val="579E5550"/>
    <w:rsid w:val="58AE1C1A"/>
    <w:rsid w:val="58F10567"/>
    <w:rsid w:val="594611C3"/>
    <w:rsid w:val="59875A03"/>
    <w:rsid w:val="59A6502A"/>
    <w:rsid w:val="59E944AA"/>
    <w:rsid w:val="5A0542D7"/>
    <w:rsid w:val="5A6542FE"/>
    <w:rsid w:val="5A7C5EE2"/>
    <w:rsid w:val="5ABF766C"/>
    <w:rsid w:val="5AD84544"/>
    <w:rsid w:val="5B605421"/>
    <w:rsid w:val="5B8C1922"/>
    <w:rsid w:val="5B991F01"/>
    <w:rsid w:val="5B9E0010"/>
    <w:rsid w:val="5BBB0674"/>
    <w:rsid w:val="5C5D0DC8"/>
    <w:rsid w:val="5C750DD0"/>
    <w:rsid w:val="5C9E5166"/>
    <w:rsid w:val="5CCC5A8A"/>
    <w:rsid w:val="5D7E569A"/>
    <w:rsid w:val="5DE37D7B"/>
    <w:rsid w:val="5E2B45E1"/>
    <w:rsid w:val="5E6E9B3F"/>
    <w:rsid w:val="5F3376D9"/>
    <w:rsid w:val="5F7E3C37"/>
    <w:rsid w:val="5FB30F75"/>
    <w:rsid w:val="5FBC5C76"/>
    <w:rsid w:val="5FDFC70F"/>
    <w:rsid w:val="5FF76A07"/>
    <w:rsid w:val="5FFB557A"/>
    <w:rsid w:val="6018206A"/>
    <w:rsid w:val="601B0187"/>
    <w:rsid w:val="60BC489A"/>
    <w:rsid w:val="6116103F"/>
    <w:rsid w:val="617B7CB9"/>
    <w:rsid w:val="61D10404"/>
    <w:rsid w:val="61DF6195"/>
    <w:rsid w:val="61E4528B"/>
    <w:rsid w:val="621E12E5"/>
    <w:rsid w:val="624E2157"/>
    <w:rsid w:val="625A16A8"/>
    <w:rsid w:val="62CB4F2D"/>
    <w:rsid w:val="62FD2DD2"/>
    <w:rsid w:val="636941AC"/>
    <w:rsid w:val="63ED1590"/>
    <w:rsid w:val="64401376"/>
    <w:rsid w:val="64D7413C"/>
    <w:rsid w:val="64DD1EA8"/>
    <w:rsid w:val="64E44A61"/>
    <w:rsid w:val="65F601A6"/>
    <w:rsid w:val="662A25F8"/>
    <w:rsid w:val="662B7641"/>
    <w:rsid w:val="66436E17"/>
    <w:rsid w:val="664A6ACF"/>
    <w:rsid w:val="677F301E"/>
    <w:rsid w:val="68134044"/>
    <w:rsid w:val="684E3013"/>
    <w:rsid w:val="68525A39"/>
    <w:rsid w:val="68825EC1"/>
    <w:rsid w:val="68E85458"/>
    <w:rsid w:val="69305143"/>
    <w:rsid w:val="69566E6D"/>
    <w:rsid w:val="6A040A94"/>
    <w:rsid w:val="6A6113D5"/>
    <w:rsid w:val="6AA80B2F"/>
    <w:rsid w:val="6ADC2900"/>
    <w:rsid w:val="6B171066"/>
    <w:rsid w:val="6B606A50"/>
    <w:rsid w:val="6B9A7B6E"/>
    <w:rsid w:val="6BEF4725"/>
    <w:rsid w:val="6CE00BE9"/>
    <w:rsid w:val="6CF97A1C"/>
    <w:rsid w:val="6D034BC5"/>
    <w:rsid w:val="6D471FB5"/>
    <w:rsid w:val="6D6269C9"/>
    <w:rsid w:val="6E327057"/>
    <w:rsid w:val="6EA2170E"/>
    <w:rsid w:val="6EFC7C1B"/>
    <w:rsid w:val="6EFF2C55"/>
    <w:rsid w:val="6F3267D4"/>
    <w:rsid w:val="6F38309D"/>
    <w:rsid w:val="6FAD534E"/>
    <w:rsid w:val="70CE10D7"/>
    <w:rsid w:val="71063CEE"/>
    <w:rsid w:val="71414BE0"/>
    <w:rsid w:val="71F0492E"/>
    <w:rsid w:val="726478B1"/>
    <w:rsid w:val="730D3792"/>
    <w:rsid w:val="735F3BD9"/>
    <w:rsid w:val="73CC2082"/>
    <w:rsid w:val="73D64187"/>
    <w:rsid w:val="73E8414A"/>
    <w:rsid w:val="742B7AD3"/>
    <w:rsid w:val="748A7EE0"/>
    <w:rsid w:val="74AD3951"/>
    <w:rsid w:val="74E63820"/>
    <w:rsid w:val="751326C5"/>
    <w:rsid w:val="75377255"/>
    <w:rsid w:val="755D0993"/>
    <w:rsid w:val="759F4511"/>
    <w:rsid w:val="76711EFB"/>
    <w:rsid w:val="76855C67"/>
    <w:rsid w:val="76DD4CB1"/>
    <w:rsid w:val="7736FEC9"/>
    <w:rsid w:val="778B0AB3"/>
    <w:rsid w:val="779E40CB"/>
    <w:rsid w:val="77A13C44"/>
    <w:rsid w:val="77A366FD"/>
    <w:rsid w:val="77BDF409"/>
    <w:rsid w:val="77FFC1D0"/>
    <w:rsid w:val="7806164C"/>
    <w:rsid w:val="784B6766"/>
    <w:rsid w:val="789E6657"/>
    <w:rsid w:val="789F7B36"/>
    <w:rsid w:val="78A72088"/>
    <w:rsid w:val="78B212D4"/>
    <w:rsid w:val="791043E8"/>
    <w:rsid w:val="797D3C8A"/>
    <w:rsid w:val="7A1A31A5"/>
    <w:rsid w:val="7A396F63"/>
    <w:rsid w:val="7A4D34A7"/>
    <w:rsid w:val="7ABD5C6C"/>
    <w:rsid w:val="7AD144BB"/>
    <w:rsid w:val="7B185377"/>
    <w:rsid w:val="7B3E1BDE"/>
    <w:rsid w:val="7B7E36C8"/>
    <w:rsid w:val="7CFF55F0"/>
    <w:rsid w:val="7D4460A8"/>
    <w:rsid w:val="7D5E70CA"/>
    <w:rsid w:val="7D661915"/>
    <w:rsid w:val="7D8B79C3"/>
    <w:rsid w:val="7D95726C"/>
    <w:rsid w:val="7DBC706A"/>
    <w:rsid w:val="7DFC2AF2"/>
    <w:rsid w:val="7E131336"/>
    <w:rsid w:val="7E241228"/>
    <w:rsid w:val="7E7FA1E1"/>
    <w:rsid w:val="7EDE96FD"/>
    <w:rsid w:val="7F394300"/>
    <w:rsid w:val="7F4171D8"/>
    <w:rsid w:val="7F7EA81B"/>
    <w:rsid w:val="7FD5AB5A"/>
    <w:rsid w:val="7FEF41CD"/>
    <w:rsid w:val="7FF563F1"/>
    <w:rsid w:val="B6B2EB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unhideWhenUsed="1" w:qFormat="1"/>
    <w:lsdException w:name="heading 3"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footnote text" w:qFormat="1"/>
    <w:lsdException w:name="header" w:qFormat="1"/>
    <w:lsdException w:name="footer" w:uiPriority="99" w:unhideWhenUsed="1" w:qFormat="1"/>
    <w:lsdException w:name="caption" w:semiHidden="1" w:unhideWhenUsed="1" w:qFormat="1"/>
    <w:lsdException w:name="Title" w:uiPriority="99" w:qFormat="1"/>
    <w:lsdException w:name="Default Paragraph Font" w:semiHidden="1" w:uiPriority="1" w:unhideWhenUsed="1" w:qFormat="1"/>
    <w:lsdException w:name="Body Text" w:uiPriority="99" w:qFormat="1"/>
    <w:lsdException w:name="Body Text Indent"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next w:val="3"/>
    <w:autoRedefine/>
    <w:qFormat/>
    <w:pPr>
      <w:widowControl w:val="0"/>
      <w:spacing w:line="520" w:lineRule="exact"/>
      <w:ind w:firstLineChars="200" w:firstLine="880"/>
      <w:jc w:val="both"/>
    </w:pPr>
    <w:rPr>
      <w:rFonts w:asciiTheme="minorHAnsi" w:eastAsia="方正仿宋_GBK" w:hAnsiTheme="minorHAnsi" w:cstheme="minorBidi"/>
      <w:kern w:val="2"/>
      <w:sz w:val="30"/>
      <w:szCs w:val="22"/>
    </w:rPr>
  </w:style>
  <w:style w:type="paragraph" w:styleId="1">
    <w:name w:val="heading 1"/>
    <w:basedOn w:val="a0"/>
    <w:next w:val="a0"/>
    <w:uiPriority w:val="9"/>
    <w:qFormat/>
    <w:pPr>
      <w:keepNext/>
      <w:keepLines/>
      <w:outlineLvl w:val="0"/>
    </w:pPr>
    <w:rPr>
      <w:rFonts w:eastAsia="方正黑体_GBK"/>
      <w:bCs/>
      <w:kern w:val="44"/>
      <w:sz w:val="32"/>
      <w:szCs w:val="44"/>
    </w:rPr>
  </w:style>
  <w:style w:type="paragraph" w:styleId="2">
    <w:name w:val="heading 2"/>
    <w:basedOn w:val="a0"/>
    <w:next w:val="a0"/>
    <w:uiPriority w:val="9"/>
    <w:unhideWhenUsed/>
    <w:qFormat/>
    <w:pPr>
      <w:keepNext/>
      <w:keepLines/>
      <w:spacing w:line="560" w:lineRule="exact"/>
      <w:outlineLvl w:val="1"/>
    </w:pPr>
    <w:rPr>
      <w:rFonts w:ascii="楷体" w:eastAsia="楷体" w:hAnsi="楷体" w:cstheme="majorBidi"/>
      <w:bCs/>
      <w:sz w:val="32"/>
      <w:szCs w:val="32"/>
    </w:rPr>
  </w:style>
  <w:style w:type="paragraph" w:styleId="3">
    <w:name w:val="heading 3"/>
    <w:basedOn w:val="a0"/>
    <w:next w:val="a0"/>
    <w:uiPriority w:val="9"/>
    <w:unhideWhenUsed/>
    <w:qFormat/>
    <w:pPr>
      <w:keepNext/>
      <w:keepLines/>
      <w:outlineLvl w:val="2"/>
    </w:pPr>
    <w:rPr>
      <w:rFonts w:ascii="仿宋" w:eastAsia="仿宋" w:hAnsi="仿宋"/>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next w:val="a5"/>
    <w:link w:val="Char"/>
    <w:uiPriority w:val="99"/>
    <w:qFormat/>
    <w:pPr>
      <w:spacing w:after="120"/>
    </w:pPr>
    <w:rPr>
      <w:rFonts w:eastAsia="仿宋_GB2312"/>
      <w:szCs w:val="20"/>
    </w:rPr>
  </w:style>
  <w:style w:type="paragraph" w:customStyle="1" w:styleId="a5">
    <w:name w:val="一级条标题"/>
    <w:basedOn w:val="a6"/>
    <w:next w:val="a7"/>
    <w:qFormat/>
    <w:pPr>
      <w:tabs>
        <w:tab w:val="left" w:pos="907"/>
      </w:tabs>
      <w:spacing w:before="0" w:after="0"/>
      <w:ind w:left="907" w:hanging="907"/>
      <w:outlineLvl w:val="2"/>
    </w:pPr>
    <w:rPr>
      <w:rFonts w:hAnsi="宋体"/>
      <w:kern w:val="0"/>
      <w:sz w:val="20"/>
      <w:szCs w:val="20"/>
    </w:rPr>
  </w:style>
  <w:style w:type="paragraph" w:customStyle="1" w:styleId="a6">
    <w:name w:val="章标题"/>
    <w:next w:val="a0"/>
    <w:qFormat/>
    <w:pPr>
      <w:tabs>
        <w:tab w:val="left" w:pos="810"/>
        <w:tab w:val="left" w:pos="1265"/>
      </w:tabs>
      <w:spacing w:before="50" w:after="50"/>
      <w:ind w:left="810" w:hanging="810"/>
      <w:jc w:val="both"/>
      <w:outlineLvl w:val="1"/>
    </w:pPr>
    <w:rPr>
      <w:rFonts w:ascii="黑体" w:eastAsia="黑体" w:hAnsi="Calibri"/>
      <w:kern w:val="2"/>
      <w:sz w:val="21"/>
      <w:szCs w:val="22"/>
    </w:rPr>
  </w:style>
  <w:style w:type="paragraph" w:customStyle="1" w:styleId="a7">
    <w:name w:val="段"/>
    <w:next w:val="A8"/>
    <w:qFormat/>
    <w:pPr>
      <w:tabs>
        <w:tab w:val="center" w:pos="4201"/>
        <w:tab w:val="right" w:leader="dot" w:pos="9298"/>
      </w:tabs>
      <w:autoSpaceDE w:val="0"/>
      <w:autoSpaceDN w:val="0"/>
      <w:ind w:firstLineChars="200" w:firstLine="420"/>
      <w:jc w:val="both"/>
    </w:pPr>
    <w:rPr>
      <w:rFonts w:ascii="宋体"/>
      <w:sz w:val="21"/>
    </w:rPr>
  </w:style>
  <w:style w:type="paragraph" w:customStyle="1" w:styleId="A8">
    <w:name w:val="正文 A"/>
    <w:next w:val="a7"/>
    <w:qFormat/>
    <w:pPr>
      <w:widowControl w:val="0"/>
      <w:jc w:val="both"/>
    </w:pPr>
    <w:rPr>
      <w:rFonts w:eastAsia="Calibri" w:cs="Calibri"/>
      <w:color w:val="000000"/>
      <w:kern w:val="2"/>
      <w:sz w:val="21"/>
      <w:szCs w:val="21"/>
    </w:rPr>
  </w:style>
  <w:style w:type="paragraph" w:styleId="a9">
    <w:name w:val="Body Text Indent"/>
    <w:basedOn w:val="a0"/>
    <w:next w:val="a0"/>
    <w:qFormat/>
    <w:pPr>
      <w:ind w:leftChars="1733" w:left="4199" w:hangingChars="200" w:hanging="560"/>
    </w:pPr>
    <w:rPr>
      <w:rFonts w:ascii="Times New Roman" w:eastAsia="宋体" w:hAnsi="Times New Roman" w:cs="Times New Roman"/>
      <w:sz w:val="28"/>
      <w:szCs w:val="24"/>
    </w:rPr>
  </w:style>
  <w:style w:type="paragraph" w:styleId="aa">
    <w:name w:val="Balloon Text"/>
    <w:basedOn w:val="a0"/>
    <w:link w:val="Char0"/>
    <w:qFormat/>
    <w:pPr>
      <w:spacing w:line="240" w:lineRule="auto"/>
    </w:pPr>
    <w:rPr>
      <w:sz w:val="18"/>
      <w:szCs w:val="18"/>
    </w:rPr>
  </w:style>
  <w:style w:type="paragraph" w:styleId="ab">
    <w:name w:val="footer"/>
    <w:basedOn w:val="a0"/>
    <w:uiPriority w:val="99"/>
    <w:unhideWhenUsed/>
    <w:qFormat/>
    <w:pPr>
      <w:tabs>
        <w:tab w:val="center" w:pos="4153"/>
        <w:tab w:val="right" w:pos="8306"/>
      </w:tabs>
      <w:snapToGrid w:val="0"/>
      <w:jc w:val="left"/>
    </w:pPr>
    <w:rPr>
      <w:sz w:val="18"/>
      <w:szCs w:val="18"/>
    </w:rPr>
  </w:style>
  <w:style w:type="paragraph" w:styleId="ac">
    <w:name w:val="header"/>
    <w:basedOn w:val="a0"/>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pPr>
    <w:rPr>
      <w:sz w:val="18"/>
    </w:rPr>
  </w:style>
  <w:style w:type="paragraph" w:styleId="10">
    <w:name w:val="toc 1"/>
    <w:basedOn w:val="a0"/>
    <w:next w:val="a0"/>
    <w:qFormat/>
  </w:style>
  <w:style w:type="paragraph" w:styleId="ad">
    <w:name w:val="footnote text"/>
    <w:basedOn w:val="a0"/>
    <w:qFormat/>
    <w:pPr>
      <w:snapToGrid w:val="0"/>
      <w:jc w:val="left"/>
    </w:pPr>
    <w:rPr>
      <w:rFonts w:eastAsia="宋体"/>
      <w:sz w:val="18"/>
    </w:rPr>
  </w:style>
  <w:style w:type="paragraph" w:styleId="20">
    <w:name w:val="toc 2"/>
    <w:basedOn w:val="a0"/>
    <w:next w:val="a0"/>
    <w:qFormat/>
    <w:pPr>
      <w:ind w:leftChars="200" w:left="420"/>
    </w:pPr>
  </w:style>
  <w:style w:type="paragraph" w:styleId="HTML">
    <w:name w:val="HTML Preformatted"/>
    <w:basedOn w:val="a0"/>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ae">
    <w:name w:val="Title"/>
    <w:basedOn w:val="a0"/>
    <w:next w:val="a0"/>
    <w:uiPriority w:val="99"/>
    <w:qFormat/>
    <w:pPr>
      <w:outlineLvl w:val="0"/>
    </w:pPr>
    <w:rPr>
      <w:rFonts w:eastAsia="方正小标宋简体" w:cs="Arial"/>
      <w:bCs/>
      <w:sz w:val="40"/>
      <w:szCs w:val="32"/>
    </w:rPr>
  </w:style>
  <w:style w:type="character" w:styleId="af">
    <w:name w:val="Hyperlink"/>
    <w:basedOn w:val="a1"/>
    <w:uiPriority w:val="99"/>
    <w:unhideWhenUsed/>
    <w:qFormat/>
    <w:rPr>
      <w:color w:val="0000FF"/>
      <w:u w:val="single"/>
    </w:rPr>
  </w:style>
  <w:style w:type="table" w:customStyle="1" w:styleId="TableNormal">
    <w:name w:val="Table Normal"/>
    <w:semiHidden/>
    <w:unhideWhenUsed/>
    <w:qFormat/>
    <w:rPr>
      <w:rFonts w:ascii="Arial" w:hAnsi="Arial" w:cs="Arial"/>
      <w:snapToGrid w:val="0"/>
      <w:color w:val="000000"/>
      <w:sz w:val="21"/>
      <w:szCs w:val="21"/>
      <w:lang w:eastAsia="en-US"/>
    </w:rPr>
    <w:tblPr>
      <w:tblCellMar>
        <w:top w:w="0" w:type="dxa"/>
        <w:left w:w="0" w:type="dxa"/>
        <w:bottom w:w="0" w:type="dxa"/>
        <w:right w:w="0" w:type="dxa"/>
      </w:tblCellMar>
    </w:tblPr>
  </w:style>
  <w:style w:type="character" w:customStyle="1" w:styleId="font21">
    <w:name w:val="font21"/>
    <w:basedOn w:val="a1"/>
    <w:qFormat/>
    <w:rPr>
      <w:rFonts w:ascii="Times New Roman" w:hAnsi="Times New Roman" w:cs="Times New Roman" w:hint="default"/>
      <w:color w:val="000000"/>
      <w:sz w:val="32"/>
      <w:szCs w:val="32"/>
      <w:u w:val="none"/>
    </w:rPr>
  </w:style>
  <w:style w:type="character" w:customStyle="1" w:styleId="font11">
    <w:name w:val="font11"/>
    <w:basedOn w:val="a1"/>
    <w:qFormat/>
    <w:rPr>
      <w:rFonts w:ascii="方正仿宋_GBK" w:eastAsia="方正仿宋_GBK" w:hAnsi="方正仿宋_GBK" w:cs="方正仿宋_GBK" w:hint="eastAsia"/>
      <w:color w:val="000000"/>
      <w:sz w:val="32"/>
      <w:szCs w:val="32"/>
      <w:u w:val="none"/>
    </w:rPr>
  </w:style>
  <w:style w:type="character" w:customStyle="1" w:styleId="Char0">
    <w:name w:val="批注框文本 Char"/>
    <w:basedOn w:val="a1"/>
    <w:link w:val="aa"/>
    <w:qFormat/>
    <w:rPr>
      <w:rFonts w:asciiTheme="minorHAnsi" w:eastAsia="方正仿宋_GBK" w:hAnsiTheme="minorHAnsi" w:cstheme="minorBidi"/>
      <w:kern w:val="2"/>
      <w:sz w:val="18"/>
      <w:szCs w:val="18"/>
    </w:rPr>
  </w:style>
  <w:style w:type="paragraph" w:customStyle="1" w:styleId="a">
    <w:name w:val="手册一四标题"/>
    <w:basedOn w:val="a0"/>
    <w:qFormat/>
    <w:pPr>
      <w:numPr>
        <w:numId w:val="1"/>
      </w:numPr>
      <w:topLinePunct/>
      <w:snapToGrid w:val="0"/>
      <w:spacing w:line="560" w:lineRule="exact"/>
      <w:jc w:val="left"/>
      <w:outlineLvl w:val="1"/>
    </w:pPr>
    <w:rPr>
      <w:rFonts w:ascii="Times New Roman" w:eastAsia="方正黑体_GBK" w:hAnsi="Times New Roman" w:cs="Times New Roman"/>
      <w:sz w:val="32"/>
      <w:szCs w:val="32"/>
    </w:rPr>
  </w:style>
  <w:style w:type="paragraph" w:customStyle="1" w:styleId="af0">
    <w:name w:val="手册正文"/>
    <w:basedOn w:val="a0"/>
    <w:uiPriority w:val="99"/>
    <w:qFormat/>
    <w:pPr>
      <w:topLinePunct/>
      <w:snapToGrid w:val="0"/>
      <w:spacing w:line="560" w:lineRule="exact"/>
      <w:ind w:firstLine="200"/>
      <w:jc w:val="center"/>
    </w:pPr>
    <w:rPr>
      <w:rFonts w:ascii="Times New Roman" w:hAnsi="Times New Roman" w:cs="Times New Roman"/>
      <w:sz w:val="32"/>
      <w:szCs w:val="32"/>
    </w:rPr>
  </w:style>
  <w:style w:type="paragraph" w:customStyle="1" w:styleId="af1">
    <w:name w:val="表格正文"/>
    <w:basedOn w:val="a0"/>
    <w:qFormat/>
    <w:pPr>
      <w:topLinePunct/>
      <w:snapToGrid w:val="0"/>
      <w:spacing w:line="360" w:lineRule="exact"/>
      <w:jc w:val="center"/>
    </w:pPr>
    <w:rPr>
      <w:rFonts w:ascii="Times New Roman" w:hAnsi="Times New Roman" w:cs="Times New Roman"/>
      <w:szCs w:val="32"/>
    </w:rPr>
  </w:style>
  <w:style w:type="character" w:customStyle="1" w:styleId="Char">
    <w:name w:val="正文文本 Char"/>
    <w:basedOn w:val="a1"/>
    <w:link w:val="a4"/>
    <w:uiPriority w:val="99"/>
    <w:qFormat/>
    <w:rPr>
      <w:rFonts w:asciiTheme="minorHAnsi" w:eastAsia="仿宋_GB2312" w:hAnsiTheme="minorHAnsi" w:cstheme="minorBidi"/>
      <w:kern w:val="2"/>
      <w:sz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unhideWhenUsed="1" w:qFormat="1"/>
    <w:lsdException w:name="heading 3"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footnote text" w:qFormat="1"/>
    <w:lsdException w:name="header" w:qFormat="1"/>
    <w:lsdException w:name="footer" w:uiPriority="99" w:unhideWhenUsed="1" w:qFormat="1"/>
    <w:lsdException w:name="caption" w:semiHidden="1" w:unhideWhenUsed="1" w:qFormat="1"/>
    <w:lsdException w:name="Title" w:uiPriority="99" w:qFormat="1"/>
    <w:lsdException w:name="Default Paragraph Font" w:semiHidden="1" w:uiPriority="1" w:unhideWhenUsed="1" w:qFormat="1"/>
    <w:lsdException w:name="Body Text" w:uiPriority="99" w:qFormat="1"/>
    <w:lsdException w:name="Body Text Indent"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next w:val="3"/>
    <w:autoRedefine/>
    <w:qFormat/>
    <w:pPr>
      <w:widowControl w:val="0"/>
      <w:spacing w:line="520" w:lineRule="exact"/>
      <w:ind w:firstLineChars="200" w:firstLine="880"/>
      <w:jc w:val="both"/>
    </w:pPr>
    <w:rPr>
      <w:rFonts w:asciiTheme="minorHAnsi" w:eastAsia="方正仿宋_GBK" w:hAnsiTheme="minorHAnsi" w:cstheme="minorBidi"/>
      <w:kern w:val="2"/>
      <w:sz w:val="30"/>
      <w:szCs w:val="22"/>
    </w:rPr>
  </w:style>
  <w:style w:type="paragraph" w:styleId="1">
    <w:name w:val="heading 1"/>
    <w:basedOn w:val="a0"/>
    <w:next w:val="a0"/>
    <w:uiPriority w:val="9"/>
    <w:qFormat/>
    <w:pPr>
      <w:keepNext/>
      <w:keepLines/>
      <w:outlineLvl w:val="0"/>
    </w:pPr>
    <w:rPr>
      <w:rFonts w:eastAsia="方正黑体_GBK"/>
      <w:bCs/>
      <w:kern w:val="44"/>
      <w:sz w:val="32"/>
      <w:szCs w:val="44"/>
    </w:rPr>
  </w:style>
  <w:style w:type="paragraph" w:styleId="2">
    <w:name w:val="heading 2"/>
    <w:basedOn w:val="a0"/>
    <w:next w:val="a0"/>
    <w:uiPriority w:val="9"/>
    <w:unhideWhenUsed/>
    <w:qFormat/>
    <w:pPr>
      <w:keepNext/>
      <w:keepLines/>
      <w:spacing w:line="560" w:lineRule="exact"/>
      <w:outlineLvl w:val="1"/>
    </w:pPr>
    <w:rPr>
      <w:rFonts w:ascii="楷体" w:eastAsia="楷体" w:hAnsi="楷体" w:cstheme="majorBidi"/>
      <w:bCs/>
      <w:sz w:val="32"/>
      <w:szCs w:val="32"/>
    </w:rPr>
  </w:style>
  <w:style w:type="paragraph" w:styleId="3">
    <w:name w:val="heading 3"/>
    <w:basedOn w:val="a0"/>
    <w:next w:val="a0"/>
    <w:uiPriority w:val="9"/>
    <w:unhideWhenUsed/>
    <w:qFormat/>
    <w:pPr>
      <w:keepNext/>
      <w:keepLines/>
      <w:outlineLvl w:val="2"/>
    </w:pPr>
    <w:rPr>
      <w:rFonts w:ascii="仿宋" w:eastAsia="仿宋" w:hAnsi="仿宋"/>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next w:val="a5"/>
    <w:link w:val="Char"/>
    <w:uiPriority w:val="99"/>
    <w:qFormat/>
    <w:pPr>
      <w:spacing w:after="120"/>
    </w:pPr>
    <w:rPr>
      <w:rFonts w:eastAsia="仿宋_GB2312"/>
      <w:szCs w:val="20"/>
    </w:rPr>
  </w:style>
  <w:style w:type="paragraph" w:customStyle="1" w:styleId="a5">
    <w:name w:val="一级条标题"/>
    <w:basedOn w:val="a6"/>
    <w:next w:val="a7"/>
    <w:qFormat/>
    <w:pPr>
      <w:tabs>
        <w:tab w:val="left" w:pos="907"/>
      </w:tabs>
      <w:spacing w:before="0" w:after="0"/>
      <w:ind w:left="907" w:hanging="907"/>
      <w:outlineLvl w:val="2"/>
    </w:pPr>
    <w:rPr>
      <w:rFonts w:hAnsi="宋体"/>
      <w:kern w:val="0"/>
      <w:sz w:val="20"/>
      <w:szCs w:val="20"/>
    </w:rPr>
  </w:style>
  <w:style w:type="paragraph" w:customStyle="1" w:styleId="a6">
    <w:name w:val="章标题"/>
    <w:next w:val="a0"/>
    <w:qFormat/>
    <w:pPr>
      <w:tabs>
        <w:tab w:val="left" w:pos="810"/>
        <w:tab w:val="left" w:pos="1265"/>
      </w:tabs>
      <w:spacing w:before="50" w:after="50"/>
      <w:ind w:left="810" w:hanging="810"/>
      <w:jc w:val="both"/>
      <w:outlineLvl w:val="1"/>
    </w:pPr>
    <w:rPr>
      <w:rFonts w:ascii="黑体" w:eastAsia="黑体" w:hAnsi="Calibri"/>
      <w:kern w:val="2"/>
      <w:sz w:val="21"/>
      <w:szCs w:val="22"/>
    </w:rPr>
  </w:style>
  <w:style w:type="paragraph" w:customStyle="1" w:styleId="a7">
    <w:name w:val="段"/>
    <w:next w:val="A8"/>
    <w:qFormat/>
    <w:pPr>
      <w:tabs>
        <w:tab w:val="center" w:pos="4201"/>
        <w:tab w:val="right" w:leader="dot" w:pos="9298"/>
      </w:tabs>
      <w:autoSpaceDE w:val="0"/>
      <w:autoSpaceDN w:val="0"/>
      <w:ind w:firstLineChars="200" w:firstLine="420"/>
      <w:jc w:val="both"/>
    </w:pPr>
    <w:rPr>
      <w:rFonts w:ascii="宋体"/>
      <w:sz w:val="21"/>
    </w:rPr>
  </w:style>
  <w:style w:type="paragraph" w:customStyle="1" w:styleId="A8">
    <w:name w:val="正文 A"/>
    <w:next w:val="a7"/>
    <w:qFormat/>
    <w:pPr>
      <w:widowControl w:val="0"/>
      <w:jc w:val="both"/>
    </w:pPr>
    <w:rPr>
      <w:rFonts w:eastAsia="Calibri" w:cs="Calibri"/>
      <w:color w:val="000000"/>
      <w:kern w:val="2"/>
      <w:sz w:val="21"/>
      <w:szCs w:val="21"/>
    </w:rPr>
  </w:style>
  <w:style w:type="paragraph" w:styleId="a9">
    <w:name w:val="Body Text Indent"/>
    <w:basedOn w:val="a0"/>
    <w:next w:val="a0"/>
    <w:qFormat/>
    <w:pPr>
      <w:ind w:leftChars="1733" w:left="4199" w:hangingChars="200" w:hanging="560"/>
    </w:pPr>
    <w:rPr>
      <w:rFonts w:ascii="Times New Roman" w:eastAsia="宋体" w:hAnsi="Times New Roman" w:cs="Times New Roman"/>
      <w:sz w:val="28"/>
      <w:szCs w:val="24"/>
    </w:rPr>
  </w:style>
  <w:style w:type="paragraph" w:styleId="aa">
    <w:name w:val="Balloon Text"/>
    <w:basedOn w:val="a0"/>
    <w:link w:val="Char0"/>
    <w:qFormat/>
    <w:pPr>
      <w:spacing w:line="240" w:lineRule="auto"/>
    </w:pPr>
    <w:rPr>
      <w:sz w:val="18"/>
      <w:szCs w:val="18"/>
    </w:rPr>
  </w:style>
  <w:style w:type="paragraph" w:styleId="ab">
    <w:name w:val="footer"/>
    <w:basedOn w:val="a0"/>
    <w:uiPriority w:val="99"/>
    <w:unhideWhenUsed/>
    <w:qFormat/>
    <w:pPr>
      <w:tabs>
        <w:tab w:val="center" w:pos="4153"/>
        <w:tab w:val="right" w:pos="8306"/>
      </w:tabs>
      <w:snapToGrid w:val="0"/>
      <w:jc w:val="left"/>
    </w:pPr>
    <w:rPr>
      <w:sz w:val="18"/>
      <w:szCs w:val="18"/>
    </w:rPr>
  </w:style>
  <w:style w:type="paragraph" w:styleId="ac">
    <w:name w:val="header"/>
    <w:basedOn w:val="a0"/>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pPr>
    <w:rPr>
      <w:sz w:val="18"/>
    </w:rPr>
  </w:style>
  <w:style w:type="paragraph" w:styleId="10">
    <w:name w:val="toc 1"/>
    <w:basedOn w:val="a0"/>
    <w:next w:val="a0"/>
    <w:qFormat/>
  </w:style>
  <w:style w:type="paragraph" w:styleId="ad">
    <w:name w:val="footnote text"/>
    <w:basedOn w:val="a0"/>
    <w:qFormat/>
    <w:pPr>
      <w:snapToGrid w:val="0"/>
      <w:jc w:val="left"/>
    </w:pPr>
    <w:rPr>
      <w:rFonts w:eastAsia="宋体"/>
      <w:sz w:val="18"/>
    </w:rPr>
  </w:style>
  <w:style w:type="paragraph" w:styleId="20">
    <w:name w:val="toc 2"/>
    <w:basedOn w:val="a0"/>
    <w:next w:val="a0"/>
    <w:qFormat/>
    <w:pPr>
      <w:ind w:leftChars="200" w:left="420"/>
    </w:pPr>
  </w:style>
  <w:style w:type="paragraph" w:styleId="HTML">
    <w:name w:val="HTML Preformatted"/>
    <w:basedOn w:val="a0"/>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ae">
    <w:name w:val="Title"/>
    <w:basedOn w:val="a0"/>
    <w:next w:val="a0"/>
    <w:uiPriority w:val="99"/>
    <w:qFormat/>
    <w:pPr>
      <w:outlineLvl w:val="0"/>
    </w:pPr>
    <w:rPr>
      <w:rFonts w:eastAsia="方正小标宋简体" w:cs="Arial"/>
      <w:bCs/>
      <w:sz w:val="40"/>
      <w:szCs w:val="32"/>
    </w:rPr>
  </w:style>
  <w:style w:type="character" w:styleId="af">
    <w:name w:val="Hyperlink"/>
    <w:basedOn w:val="a1"/>
    <w:uiPriority w:val="99"/>
    <w:unhideWhenUsed/>
    <w:qFormat/>
    <w:rPr>
      <w:color w:val="0000FF"/>
      <w:u w:val="single"/>
    </w:rPr>
  </w:style>
  <w:style w:type="table" w:customStyle="1" w:styleId="TableNormal">
    <w:name w:val="Table Normal"/>
    <w:semiHidden/>
    <w:unhideWhenUsed/>
    <w:qFormat/>
    <w:rPr>
      <w:rFonts w:ascii="Arial" w:hAnsi="Arial" w:cs="Arial"/>
      <w:snapToGrid w:val="0"/>
      <w:color w:val="000000"/>
      <w:sz w:val="21"/>
      <w:szCs w:val="21"/>
      <w:lang w:eastAsia="en-US"/>
    </w:rPr>
    <w:tblPr>
      <w:tblCellMar>
        <w:top w:w="0" w:type="dxa"/>
        <w:left w:w="0" w:type="dxa"/>
        <w:bottom w:w="0" w:type="dxa"/>
        <w:right w:w="0" w:type="dxa"/>
      </w:tblCellMar>
    </w:tblPr>
  </w:style>
  <w:style w:type="character" w:customStyle="1" w:styleId="font21">
    <w:name w:val="font21"/>
    <w:basedOn w:val="a1"/>
    <w:qFormat/>
    <w:rPr>
      <w:rFonts w:ascii="Times New Roman" w:hAnsi="Times New Roman" w:cs="Times New Roman" w:hint="default"/>
      <w:color w:val="000000"/>
      <w:sz w:val="32"/>
      <w:szCs w:val="32"/>
      <w:u w:val="none"/>
    </w:rPr>
  </w:style>
  <w:style w:type="character" w:customStyle="1" w:styleId="font11">
    <w:name w:val="font11"/>
    <w:basedOn w:val="a1"/>
    <w:qFormat/>
    <w:rPr>
      <w:rFonts w:ascii="方正仿宋_GBK" w:eastAsia="方正仿宋_GBK" w:hAnsi="方正仿宋_GBK" w:cs="方正仿宋_GBK" w:hint="eastAsia"/>
      <w:color w:val="000000"/>
      <w:sz w:val="32"/>
      <w:szCs w:val="32"/>
      <w:u w:val="none"/>
    </w:rPr>
  </w:style>
  <w:style w:type="character" w:customStyle="1" w:styleId="Char0">
    <w:name w:val="批注框文本 Char"/>
    <w:basedOn w:val="a1"/>
    <w:link w:val="aa"/>
    <w:qFormat/>
    <w:rPr>
      <w:rFonts w:asciiTheme="minorHAnsi" w:eastAsia="方正仿宋_GBK" w:hAnsiTheme="minorHAnsi" w:cstheme="minorBidi"/>
      <w:kern w:val="2"/>
      <w:sz w:val="18"/>
      <w:szCs w:val="18"/>
    </w:rPr>
  </w:style>
  <w:style w:type="paragraph" w:customStyle="1" w:styleId="a">
    <w:name w:val="手册一四标题"/>
    <w:basedOn w:val="a0"/>
    <w:qFormat/>
    <w:pPr>
      <w:numPr>
        <w:numId w:val="1"/>
      </w:numPr>
      <w:topLinePunct/>
      <w:snapToGrid w:val="0"/>
      <w:spacing w:line="560" w:lineRule="exact"/>
      <w:jc w:val="left"/>
      <w:outlineLvl w:val="1"/>
    </w:pPr>
    <w:rPr>
      <w:rFonts w:ascii="Times New Roman" w:eastAsia="方正黑体_GBK" w:hAnsi="Times New Roman" w:cs="Times New Roman"/>
      <w:sz w:val="32"/>
      <w:szCs w:val="32"/>
    </w:rPr>
  </w:style>
  <w:style w:type="paragraph" w:customStyle="1" w:styleId="af0">
    <w:name w:val="手册正文"/>
    <w:basedOn w:val="a0"/>
    <w:uiPriority w:val="99"/>
    <w:qFormat/>
    <w:pPr>
      <w:topLinePunct/>
      <w:snapToGrid w:val="0"/>
      <w:spacing w:line="560" w:lineRule="exact"/>
      <w:ind w:firstLine="200"/>
      <w:jc w:val="center"/>
    </w:pPr>
    <w:rPr>
      <w:rFonts w:ascii="Times New Roman" w:hAnsi="Times New Roman" w:cs="Times New Roman"/>
      <w:sz w:val="32"/>
      <w:szCs w:val="32"/>
    </w:rPr>
  </w:style>
  <w:style w:type="paragraph" w:customStyle="1" w:styleId="af1">
    <w:name w:val="表格正文"/>
    <w:basedOn w:val="a0"/>
    <w:qFormat/>
    <w:pPr>
      <w:topLinePunct/>
      <w:snapToGrid w:val="0"/>
      <w:spacing w:line="360" w:lineRule="exact"/>
      <w:jc w:val="center"/>
    </w:pPr>
    <w:rPr>
      <w:rFonts w:ascii="Times New Roman" w:hAnsi="Times New Roman" w:cs="Times New Roman"/>
      <w:szCs w:val="32"/>
    </w:rPr>
  </w:style>
  <w:style w:type="character" w:customStyle="1" w:styleId="Char">
    <w:name w:val="正文文本 Char"/>
    <w:basedOn w:val="a1"/>
    <w:link w:val="a4"/>
    <w:uiPriority w:val="99"/>
    <w:qFormat/>
    <w:rPr>
      <w:rFonts w:asciiTheme="minorHAnsi" w:eastAsia="仿宋_GB2312" w:hAnsiTheme="minorHAnsi" w:cstheme="minorBidi"/>
      <w:kern w:val="2"/>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58</Pages>
  <Words>3381</Words>
  <Characters>19274</Characters>
  <Application>Microsoft Office Word</Application>
  <DocSecurity>0</DocSecurity>
  <Lines>160</Lines>
  <Paragraphs>45</Paragraphs>
  <ScaleCrop>false</ScaleCrop>
  <Company/>
  <LinksUpToDate>false</LinksUpToDate>
  <CharactersWithSpaces>22610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未嘢</dc:creator>
  <cp:lastModifiedBy>NTKO</cp:lastModifiedBy>
  <cp:revision>10</cp:revision>
  <cp:lastPrinted>2026-08-25T08:35:00Z</cp:lastPrinted>
  <dcterms:created xsi:type="dcterms:W3CDTF">2026-09-14T09:47:00Z</dcterms:created>
  <dcterms:modified xsi:type="dcterms:W3CDTF">2026-09-22T07:18:00Z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14807154444A4898640DA16A436421D5_43</vt:lpwstr>
  </property>
  <property fmtid="{D5CDD505-2E9C-101B-9397-08002B2CF9AE}" pid="4" name="KSOTemplateDocerSaveRecord">
    <vt:lpwstr>eyJoZGlkIjoiYTc5MTViNjcxZTk0Yjk0NmVhODA5ZmYxZjdiMTYxMzUiLCJ1c2VySWQiOiI0MzE0MzcxODYifQ==</vt:lpwstr>
  </property>
</Properties>
</file>