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B6D" w:rsidRDefault="00122B6D">
      <w:pPr>
        <w:widowControl w:val="0"/>
        <w:spacing w:line="276" w:lineRule="auto"/>
        <w:jc w:val="center"/>
        <w:rPr>
          <w:rFonts w:eastAsia="华文中宋"/>
          <w:color w:val="FF0000"/>
          <w:sz w:val="44"/>
          <w:szCs w:val="44"/>
        </w:rPr>
      </w:pPr>
    </w:p>
    <w:p w:rsidR="00122B6D" w:rsidRDefault="00122B6D">
      <w:pPr>
        <w:pStyle w:val="af"/>
        <w:ind w:firstLine="600"/>
        <w:rPr>
          <w:color w:val="FF0000"/>
        </w:rPr>
      </w:pPr>
    </w:p>
    <w:p w:rsidR="00122B6D" w:rsidRDefault="00F01EEF">
      <w:pPr>
        <w:widowControl w:val="0"/>
        <w:adjustRightInd w:val="0"/>
        <w:snapToGrid w:val="0"/>
        <w:spacing w:line="360" w:lineRule="auto"/>
        <w:jc w:val="center"/>
        <w:rPr>
          <w:rFonts w:eastAsia="方正小标宋_GBK"/>
          <w:sz w:val="44"/>
          <w:szCs w:val="44"/>
        </w:rPr>
      </w:pPr>
      <w:bookmarkStart w:id="0" w:name="_Toc14182"/>
      <w:r>
        <w:rPr>
          <w:rFonts w:eastAsia="方正小标宋_GBK" w:hint="eastAsia"/>
          <w:sz w:val="44"/>
          <w:szCs w:val="44"/>
        </w:rPr>
        <w:t>2025</w:t>
      </w:r>
      <w:r>
        <w:rPr>
          <w:rFonts w:eastAsia="方正小标宋_GBK" w:hint="eastAsia"/>
          <w:sz w:val="44"/>
          <w:szCs w:val="44"/>
        </w:rPr>
        <w:t>年度</w:t>
      </w:r>
      <w:r>
        <w:rPr>
          <w:rFonts w:eastAsia="方正小标宋_GBK"/>
          <w:sz w:val="44"/>
          <w:szCs w:val="44"/>
        </w:rPr>
        <w:t>南京市</w:t>
      </w:r>
      <w:bookmarkEnd w:id="0"/>
      <w:r>
        <w:rPr>
          <w:rFonts w:eastAsia="方正小标宋_GBK" w:hint="eastAsia"/>
          <w:sz w:val="44"/>
          <w:szCs w:val="44"/>
        </w:rPr>
        <w:t>发展和改革委员会</w:t>
      </w:r>
    </w:p>
    <w:p w:rsidR="00122B6D" w:rsidRDefault="00F01EEF">
      <w:pPr>
        <w:widowControl w:val="0"/>
        <w:adjustRightInd w:val="0"/>
        <w:snapToGrid w:val="0"/>
        <w:spacing w:line="360" w:lineRule="auto"/>
        <w:jc w:val="center"/>
        <w:rPr>
          <w:rFonts w:eastAsia="方正小标宋_GBK"/>
          <w:sz w:val="44"/>
          <w:szCs w:val="44"/>
        </w:rPr>
      </w:pPr>
      <w:r>
        <w:rPr>
          <w:rFonts w:eastAsia="方正小标宋_GBK"/>
          <w:sz w:val="44"/>
          <w:szCs w:val="44"/>
        </w:rPr>
        <w:t>粮食专项补助资金绩效</w:t>
      </w:r>
      <w:r w:rsidR="00AA0E04">
        <w:rPr>
          <w:rFonts w:eastAsia="方正小标宋_GBK"/>
          <w:sz w:val="44"/>
          <w:szCs w:val="44"/>
        </w:rPr>
        <w:t>自</w:t>
      </w:r>
      <w:bookmarkStart w:id="1" w:name="_GoBack"/>
      <w:bookmarkEnd w:id="1"/>
      <w:r>
        <w:rPr>
          <w:rFonts w:eastAsia="方正小标宋_GBK"/>
          <w:sz w:val="44"/>
          <w:szCs w:val="44"/>
        </w:rPr>
        <w:t>评价报告</w:t>
      </w:r>
    </w:p>
    <w:p w:rsidR="00122B6D" w:rsidRDefault="00122B6D">
      <w:pPr>
        <w:widowControl w:val="0"/>
        <w:spacing w:line="276" w:lineRule="auto"/>
        <w:jc w:val="center"/>
        <w:rPr>
          <w:rFonts w:eastAsia="华文仿宋"/>
          <w:b/>
          <w:bCs/>
        </w:rPr>
      </w:pPr>
    </w:p>
    <w:p w:rsidR="00122B6D" w:rsidRDefault="00122B6D" w:rsidP="00AA0E04">
      <w:pPr>
        <w:widowControl w:val="0"/>
        <w:spacing w:line="276" w:lineRule="auto"/>
        <w:ind w:firstLineChars="192" w:firstLine="461"/>
        <w:rPr>
          <w:rFonts w:eastAsia="华文仿宋"/>
          <w:sz w:val="24"/>
        </w:rPr>
      </w:pPr>
    </w:p>
    <w:p w:rsidR="00122B6D" w:rsidRDefault="00122B6D">
      <w:pPr>
        <w:widowControl w:val="0"/>
        <w:spacing w:line="276" w:lineRule="auto"/>
        <w:rPr>
          <w:rFonts w:eastAsia="华文仿宋"/>
        </w:rPr>
      </w:pPr>
    </w:p>
    <w:p w:rsidR="00122B6D" w:rsidRDefault="00122B6D">
      <w:pPr>
        <w:pStyle w:val="a3"/>
        <w:widowControl w:val="0"/>
        <w:rPr>
          <w:rFonts w:eastAsia="华文仿宋"/>
        </w:rPr>
      </w:pPr>
    </w:p>
    <w:p w:rsidR="00122B6D" w:rsidRDefault="00122B6D">
      <w:pPr>
        <w:pStyle w:val="a3"/>
        <w:widowControl w:val="0"/>
        <w:rPr>
          <w:rFonts w:eastAsia="华文仿宋"/>
        </w:rPr>
      </w:pPr>
    </w:p>
    <w:p w:rsidR="00122B6D" w:rsidRDefault="00122B6D">
      <w:pPr>
        <w:pStyle w:val="a3"/>
        <w:widowControl w:val="0"/>
        <w:rPr>
          <w:rFonts w:eastAsia="华文仿宋"/>
        </w:rPr>
      </w:pPr>
    </w:p>
    <w:p w:rsidR="00122B6D" w:rsidRDefault="00122B6D">
      <w:pPr>
        <w:widowControl w:val="0"/>
        <w:spacing w:line="276" w:lineRule="auto"/>
        <w:rPr>
          <w:rFonts w:eastAsia="华文仿宋"/>
        </w:rPr>
      </w:pPr>
    </w:p>
    <w:p w:rsidR="00122B6D" w:rsidRDefault="00122B6D">
      <w:pPr>
        <w:widowControl w:val="0"/>
        <w:spacing w:line="276" w:lineRule="auto"/>
        <w:rPr>
          <w:rFonts w:eastAsia="华文仿宋"/>
        </w:rPr>
      </w:pPr>
    </w:p>
    <w:p w:rsidR="00122B6D" w:rsidRDefault="00122B6D">
      <w:pPr>
        <w:widowControl w:val="0"/>
        <w:spacing w:line="276" w:lineRule="auto"/>
        <w:rPr>
          <w:rFonts w:eastAsia="华文仿宋"/>
        </w:rPr>
      </w:pPr>
    </w:p>
    <w:p w:rsidR="00122B6D" w:rsidRDefault="00122B6D">
      <w:pPr>
        <w:widowControl w:val="0"/>
        <w:spacing w:line="276" w:lineRule="auto"/>
        <w:jc w:val="center"/>
        <w:rPr>
          <w:b/>
          <w:bCs/>
          <w:szCs w:val="24"/>
        </w:rPr>
      </w:pPr>
    </w:p>
    <w:p w:rsidR="00122B6D" w:rsidRDefault="00F01EEF">
      <w:pPr>
        <w:widowControl w:val="0"/>
        <w:spacing w:line="276" w:lineRule="auto"/>
        <w:jc w:val="center"/>
        <w:rPr>
          <w:color w:val="FF0000"/>
        </w:rPr>
        <w:sectPr w:rsidR="00122B6D">
          <w:pgSz w:w="11906" w:h="16838"/>
          <w:pgMar w:top="2098" w:right="1474" w:bottom="1984" w:left="1587" w:header="851" w:footer="992" w:gutter="0"/>
          <w:cols w:space="720"/>
          <w:docGrid w:type="lines" w:linePitch="435"/>
        </w:sectPr>
      </w:pPr>
      <w:r>
        <w:rPr>
          <w:b/>
          <w:bCs/>
          <w:szCs w:val="24"/>
        </w:rPr>
        <w:t>202</w:t>
      </w:r>
      <w:r>
        <w:rPr>
          <w:rFonts w:hint="eastAsia"/>
          <w:b/>
          <w:bCs/>
          <w:szCs w:val="24"/>
        </w:rPr>
        <w:t>6</w:t>
      </w:r>
      <w:r>
        <w:rPr>
          <w:b/>
          <w:bCs/>
          <w:szCs w:val="24"/>
        </w:rPr>
        <w:t>年</w:t>
      </w:r>
      <w:r>
        <w:rPr>
          <w:b/>
          <w:bCs/>
          <w:szCs w:val="24"/>
        </w:rPr>
        <w:t>6</w:t>
      </w:r>
      <w:r>
        <w:rPr>
          <w:b/>
          <w:bCs/>
          <w:szCs w:val="24"/>
        </w:rPr>
        <w:t>月</w:t>
      </w:r>
    </w:p>
    <w:p w:rsidR="00122B6D" w:rsidRDefault="00F01EEF">
      <w:pPr>
        <w:widowControl w:val="0"/>
        <w:adjustRightInd w:val="0"/>
        <w:snapToGrid w:val="0"/>
        <w:jc w:val="center"/>
        <w:rPr>
          <w:rFonts w:eastAsia="方正小标宋_GBK"/>
          <w:sz w:val="36"/>
          <w:szCs w:val="36"/>
        </w:rPr>
      </w:pPr>
      <w:bookmarkStart w:id="2" w:name="_Toc13351"/>
      <w:r>
        <w:rPr>
          <w:rFonts w:eastAsia="方正小标宋_GBK" w:hint="eastAsia"/>
          <w:sz w:val="36"/>
          <w:szCs w:val="36"/>
        </w:rPr>
        <w:lastRenderedPageBreak/>
        <w:t>2025</w:t>
      </w:r>
      <w:r>
        <w:rPr>
          <w:rFonts w:eastAsia="方正小标宋_GBK" w:hint="eastAsia"/>
          <w:sz w:val="36"/>
          <w:szCs w:val="36"/>
        </w:rPr>
        <w:t>年</w:t>
      </w:r>
      <w:r>
        <w:rPr>
          <w:rFonts w:eastAsia="方正小标宋_GBK"/>
          <w:sz w:val="36"/>
          <w:szCs w:val="36"/>
        </w:rPr>
        <w:t>粮食专项补助资金绩效</w:t>
      </w:r>
      <w:r>
        <w:rPr>
          <w:rFonts w:eastAsia="方正小标宋_GBK" w:hint="eastAsia"/>
          <w:sz w:val="36"/>
          <w:szCs w:val="36"/>
        </w:rPr>
        <w:t>自</w:t>
      </w:r>
      <w:r>
        <w:rPr>
          <w:rFonts w:eastAsia="方正小标宋_GBK"/>
          <w:sz w:val="36"/>
          <w:szCs w:val="36"/>
        </w:rPr>
        <w:t>评价报告</w:t>
      </w:r>
      <w:bookmarkEnd w:id="2"/>
    </w:p>
    <w:p w:rsidR="00122B6D" w:rsidRDefault="00122B6D">
      <w:pPr>
        <w:pStyle w:val="3"/>
        <w:ind w:firstLine="643"/>
      </w:pPr>
    </w:p>
    <w:p w:rsidR="00122B6D" w:rsidRDefault="00F01EEF">
      <w:pPr>
        <w:widowControl w:val="0"/>
        <w:adjustRightInd w:val="0"/>
        <w:snapToGrid w:val="0"/>
        <w:ind w:firstLineChars="200" w:firstLine="640"/>
        <w:outlineLvl w:val="0"/>
        <w:rPr>
          <w:rFonts w:eastAsia="方正黑体_GBK"/>
        </w:rPr>
      </w:pPr>
      <w:bookmarkStart w:id="3" w:name="_Toc2453"/>
      <w:r>
        <w:rPr>
          <w:rFonts w:eastAsia="方正黑体_GBK"/>
        </w:rPr>
        <w:t>一、项目概况</w:t>
      </w:r>
      <w:bookmarkEnd w:id="3"/>
    </w:p>
    <w:p w:rsidR="00122B6D" w:rsidRDefault="00F01EEF">
      <w:pPr>
        <w:widowControl w:val="0"/>
        <w:adjustRightInd w:val="0"/>
        <w:snapToGrid w:val="0"/>
        <w:ind w:firstLineChars="200" w:firstLine="640"/>
        <w:jc w:val="left"/>
        <w:outlineLvl w:val="1"/>
        <w:rPr>
          <w:rFonts w:eastAsia="方正楷体_GBK"/>
          <w:kern w:val="0"/>
        </w:rPr>
      </w:pPr>
      <w:bookmarkStart w:id="4" w:name="_Toc4920"/>
      <w:r>
        <w:rPr>
          <w:rFonts w:eastAsia="方正楷体_GBK"/>
          <w:kern w:val="0"/>
        </w:rPr>
        <w:t>（一）项目基本情况</w:t>
      </w:r>
      <w:bookmarkEnd w:id="4"/>
    </w:p>
    <w:p w:rsidR="00122B6D" w:rsidRDefault="00F01EEF" w:rsidP="00AA0E04">
      <w:pPr>
        <w:widowControl w:val="0"/>
        <w:adjustRightInd w:val="0"/>
        <w:snapToGrid w:val="0"/>
        <w:ind w:firstLineChars="200" w:firstLine="643"/>
        <w:jc w:val="left"/>
        <w:outlineLvl w:val="2"/>
        <w:rPr>
          <w:b/>
          <w:bCs/>
          <w:kern w:val="0"/>
        </w:rPr>
      </w:pPr>
      <w:r>
        <w:rPr>
          <w:b/>
          <w:bCs/>
          <w:kern w:val="0"/>
        </w:rPr>
        <w:t>1.</w:t>
      </w:r>
      <w:r>
        <w:rPr>
          <w:b/>
          <w:bCs/>
          <w:kern w:val="0"/>
        </w:rPr>
        <w:t>立项背景及目的</w:t>
      </w:r>
    </w:p>
    <w:p w:rsidR="00122B6D" w:rsidRDefault="00F01EEF">
      <w:pPr>
        <w:widowControl w:val="0"/>
        <w:adjustRightInd w:val="0"/>
        <w:snapToGrid w:val="0"/>
        <w:ind w:firstLineChars="200" w:firstLine="640"/>
        <w:rPr>
          <w:color w:val="FF0000"/>
          <w:kern w:val="0"/>
        </w:rPr>
      </w:pPr>
      <w:r>
        <w:rPr>
          <w:kern w:val="0"/>
        </w:rPr>
        <w:t>地方政府粮食储备是我国粮食储备的重要组成部分，是区域内粮食供应稳市场、保应急、保安全的</w:t>
      </w:r>
      <w:r>
        <w:rPr>
          <w:kern w:val="0"/>
        </w:rPr>
        <w:t>“</w:t>
      </w:r>
      <w:r>
        <w:rPr>
          <w:kern w:val="0"/>
        </w:rPr>
        <w:t>第一道防线</w:t>
      </w:r>
      <w:r>
        <w:rPr>
          <w:kern w:val="0"/>
        </w:rPr>
        <w:t>”</w:t>
      </w:r>
      <w:r>
        <w:rPr>
          <w:kern w:val="0"/>
        </w:rPr>
        <w:t>，是地方政府应对突发事件和加强市场调控重要而有力的手段。</w:t>
      </w:r>
    </w:p>
    <w:p w:rsidR="00122B6D" w:rsidRDefault="00F01EEF">
      <w:pPr>
        <w:widowControl w:val="0"/>
        <w:adjustRightInd w:val="0"/>
        <w:snapToGrid w:val="0"/>
        <w:ind w:firstLineChars="200" w:firstLine="640"/>
        <w:rPr>
          <w:kern w:val="0"/>
        </w:rPr>
      </w:pPr>
      <w:r>
        <w:rPr>
          <w:kern w:val="0"/>
        </w:rPr>
        <w:t>党中央、国务院高度重视粮食和物资储备安全，</w:t>
      </w:r>
      <w:r>
        <w:rPr>
          <w:kern w:val="0"/>
        </w:rPr>
        <w:t>2020</w:t>
      </w:r>
      <w:r>
        <w:rPr>
          <w:kern w:val="0"/>
        </w:rPr>
        <w:t>年中央农村工作会议强调要牢牢把住粮食安全主动权，并首次提出实行粮食安全党政同责。</w:t>
      </w:r>
      <w:r>
        <w:rPr>
          <w:kern w:val="0"/>
        </w:rPr>
        <w:t>2021</w:t>
      </w:r>
      <w:r>
        <w:rPr>
          <w:kern w:val="0"/>
        </w:rPr>
        <w:t>年国务院公布了修订后的《粮食流通管理条例》，国家粮食和物资储备局提出</w:t>
      </w:r>
      <w:r>
        <w:rPr>
          <w:kern w:val="0"/>
        </w:rPr>
        <w:t>“</w:t>
      </w:r>
      <w:r>
        <w:rPr>
          <w:kern w:val="0"/>
        </w:rPr>
        <w:t>十四五</w:t>
      </w:r>
      <w:r>
        <w:rPr>
          <w:kern w:val="0"/>
        </w:rPr>
        <w:t>”</w:t>
      </w:r>
      <w:r>
        <w:rPr>
          <w:kern w:val="0"/>
        </w:rPr>
        <w:t>期间重点在</w:t>
      </w:r>
      <w:r>
        <w:rPr>
          <w:kern w:val="0"/>
        </w:rPr>
        <w:t>“</w:t>
      </w:r>
      <w:r>
        <w:rPr>
          <w:kern w:val="0"/>
        </w:rPr>
        <w:t>五个坚持、五个统筹</w:t>
      </w:r>
      <w:r>
        <w:rPr>
          <w:kern w:val="0"/>
        </w:rPr>
        <w:t>”</w:t>
      </w:r>
      <w:r>
        <w:rPr>
          <w:kern w:val="0"/>
        </w:rPr>
        <w:t>上下功夫。江苏省近年先后发布了《省政府办公厅关于大力发展粮食产业经济加快建设粮食产业强省的实施意见》《江苏</w:t>
      </w:r>
      <w:r>
        <w:rPr>
          <w:kern w:val="0"/>
        </w:rPr>
        <w:t>省粮食流通条例》等。各级政府对粮食安全工作的高度重视为统筹全市</w:t>
      </w:r>
      <w:r>
        <w:rPr>
          <w:rFonts w:hint="eastAsia"/>
          <w:kern w:val="0"/>
        </w:rPr>
        <w:t>粮食工作</w:t>
      </w:r>
      <w:r>
        <w:rPr>
          <w:kern w:val="0"/>
        </w:rPr>
        <w:t>，保障粮食安全提供了重要</w:t>
      </w:r>
      <w:r>
        <w:rPr>
          <w:rFonts w:hint="eastAsia"/>
          <w:kern w:val="0"/>
        </w:rPr>
        <w:t>依据</w:t>
      </w:r>
      <w:r>
        <w:rPr>
          <w:kern w:val="0"/>
        </w:rPr>
        <w:t>。</w:t>
      </w:r>
    </w:p>
    <w:p w:rsidR="00122B6D" w:rsidRDefault="00F01EEF">
      <w:pPr>
        <w:widowControl w:val="0"/>
        <w:adjustRightInd w:val="0"/>
        <w:snapToGrid w:val="0"/>
        <w:ind w:firstLineChars="200" w:firstLine="640"/>
        <w:rPr>
          <w:kern w:val="0"/>
        </w:rPr>
      </w:pPr>
      <w:r>
        <w:rPr>
          <w:kern w:val="0"/>
        </w:rPr>
        <w:t>2021</w:t>
      </w:r>
      <w:r>
        <w:rPr>
          <w:kern w:val="0"/>
        </w:rPr>
        <w:t>年，南京市政府办公厅印发《南京市</w:t>
      </w:r>
      <w:r>
        <w:rPr>
          <w:kern w:val="0"/>
        </w:rPr>
        <w:t>“</w:t>
      </w:r>
      <w:r>
        <w:rPr>
          <w:kern w:val="0"/>
        </w:rPr>
        <w:t>十四五</w:t>
      </w:r>
      <w:r>
        <w:rPr>
          <w:kern w:val="0"/>
        </w:rPr>
        <w:t>”</w:t>
      </w:r>
      <w:r>
        <w:rPr>
          <w:kern w:val="0"/>
        </w:rPr>
        <w:t>粮食流通和物资储备发展规划》，提出</w:t>
      </w:r>
      <w:r>
        <w:rPr>
          <w:kern w:val="0"/>
        </w:rPr>
        <w:t>“</w:t>
      </w:r>
      <w:r>
        <w:rPr>
          <w:kern w:val="0"/>
        </w:rPr>
        <w:t>地方粮食储备规模稳步增长。主动适应南京市人口变化及经济社会发展需求，制定科学合理的粮食储备规模，完善粮食储备品种和结构，形成精准调控机制。深化粮食产销合作，夯实粮食安全保障基础。打造形成布局合理、</w:t>
      </w:r>
      <w:r>
        <w:rPr>
          <w:kern w:val="0"/>
        </w:rPr>
        <w:lastRenderedPageBreak/>
        <w:t>规模适度、管理科学、保障有力的地方粮食储备体系。</w:t>
      </w:r>
      <w:r>
        <w:rPr>
          <w:kern w:val="0"/>
        </w:rPr>
        <w:t>”</w:t>
      </w:r>
    </w:p>
    <w:p w:rsidR="00122B6D" w:rsidRDefault="00F01EEF">
      <w:pPr>
        <w:widowControl w:val="0"/>
        <w:adjustRightInd w:val="0"/>
        <w:snapToGrid w:val="0"/>
        <w:ind w:firstLineChars="200" w:firstLine="640"/>
        <w:rPr>
          <w:kern w:val="0"/>
        </w:rPr>
      </w:pPr>
      <w:r>
        <w:rPr>
          <w:rFonts w:hint="eastAsia"/>
          <w:kern w:val="0"/>
        </w:rPr>
        <w:t>2025</w:t>
      </w:r>
      <w:r>
        <w:rPr>
          <w:rFonts w:hint="eastAsia"/>
          <w:kern w:val="0"/>
        </w:rPr>
        <w:t>年</w:t>
      </w:r>
      <w:r>
        <w:rPr>
          <w:kern w:val="0"/>
        </w:rPr>
        <w:t>，南京市根据国家粮食安全战略部署、粮食安全责任制要求和粮食储备有关</w:t>
      </w:r>
      <w:r>
        <w:rPr>
          <w:kern w:val="0"/>
        </w:rPr>
        <w:t>政策规定，为调节供求、稳定市场、保障突发情况下</w:t>
      </w:r>
      <w:r>
        <w:rPr>
          <w:rFonts w:ascii="方正仿宋_GBK" w:hAnsi="方正仿宋_GBK" w:cs="方正仿宋_GBK" w:hint="eastAsia"/>
          <w:kern w:val="0"/>
        </w:rPr>
        <w:t>的粮</w:t>
      </w:r>
      <w:r>
        <w:rPr>
          <w:kern w:val="0"/>
        </w:rPr>
        <w:t>食有效供给，按照地方粮食储备相关要求建立和充实地方粮油储备。根据《南京市地方政府储备粮财政补贴资金管理办法》（宁财规〔</w:t>
      </w:r>
      <w:r>
        <w:rPr>
          <w:kern w:val="0"/>
        </w:rPr>
        <w:t>2021</w:t>
      </w:r>
      <w:r>
        <w:rPr>
          <w:kern w:val="0"/>
        </w:rPr>
        <w:t>〕</w:t>
      </w:r>
      <w:r>
        <w:rPr>
          <w:kern w:val="0"/>
        </w:rPr>
        <w:t>3</w:t>
      </w:r>
      <w:r>
        <w:rPr>
          <w:kern w:val="0"/>
        </w:rPr>
        <w:t>号）和《南京市粮食仓储物流能力建设及产业发展专项资金管理办法》（宁财规〔</w:t>
      </w:r>
      <w:r>
        <w:rPr>
          <w:kern w:val="0"/>
        </w:rPr>
        <w:t>2021</w:t>
      </w:r>
      <w:r>
        <w:rPr>
          <w:kern w:val="0"/>
        </w:rPr>
        <w:t>〕</w:t>
      </w:r>
      <w:r>
        <w:rPr>
          <w:kern w:val="0"/>
        </w:rPr>
        <w:t>2</w:t>
      </w:r>
      <w:r>
        <w:rPr>
          <w:kern w:val="0"/>
        </w:rPr>
        <w:t>号）文件要求，由南京市财政负责落实储备粮油的保管费用、轮换费用、贷款利息等补贴资金和仓储物流设施建设、粮食产业发展等资金。</w:t>
      </w:r>
    </w:p>
    <w:p w:rsidR="00122B6D" w:rsidRDefault="00F01EEF" w:rsidP="00AA0E04">
      <w:pPr>
        <w:widowControl w:val="0"/>
        <w:adjustRightInd w:val="0"/>
        <w:snapToGrid w:val="0"/>
        <w:ind w:firstLineChars="200" w:firstLine="643"/>
        <w:jc w:val="left"/>
        <w:outlineLvl w:val="2"/>
        <w:rPr>
          <w:b/>
          <w:bCs/>
          <w:kern w:val="0"/>
        </w:rPr>
      </w:pPr>
      <w:r>
        <w:rPr>
          <w:b/>
          <w:bCs/>
          <w:kern w:val="0"/>
        </w:rPr>
        <w:t>2.</w:t>
      </w:r>
      <w:r>
        <w:rPr>
          <w:b/>
          <w:bCs/>
          <w:kern w:val="0"/>
        </w:rPr>
        <w:t>主要内容</w:t>
      </w:r>
    </w:p>
    <w:p w:rsidR="00122B6D" w:rsidRDefault="00F01EEF">
      <w:pPr>
        <w:widowControl w:val="0"/>
        <w:adjustRightInd w:val="0"/>
        <w:snapToGrid w:val="0"/>
        <w:ind w:firstLineChars="200" w:firstLine="640"/>
        <w:rPr>
          <w:kern w:val="0"/>
        </w:rPr>
      </w:pPr>
      <w:r>
        <w:rPr>
          <w:rFonts w:hint="eastAsia"/>
          <w:kern w:val="0"/>
        </w:rPr>
        <w:t>2025</w:t>
      </w:r>
      <w:r>
        <w:rPr>
          <w:rFonts w:hint="eastAsia"/>
          <w:kern w:val="0"/>
        </w:rPr>
        <w:t>年</w:t>
      </w:r>
      <w:r>
        <w:rPr>
          <w:kern w:val="0"/>
        </w:rPr>
        <w:t>粮食专项</w:t>
      </w:r>
      <w:r>
        <w:rPr>
          <w:rFonts w:hint="eastAsia"/>
          <w:kern w:val="0"/>
        </w:rPr>
        <w:t>主要内容如下：</w:t>
      </w:r>
    </w:p>
    <w:p w:rsidR="00122B6D" w:rsidRDefault="00F01EEF">
      <w:pPr>
        <w:widowControl w:val="0"/>
        <w:adjustRightInd w:val="0"/>
        <w:snapToGrid w:val="0"/>
        <w:ind w:firstLineChars="200" w:firstLine="640"/>
        <w:rPr>
          <w:kern w:val="0"/>
        </w:rPr>
      </w:pPr>
      <w:r>
        <w:rPr>
          <w:kern w:val="0"/>
        </w:rPr>
        <w:t>（</w:t>
      </w:r>
      <w:r>
        <w:rPr>
          <w:kern w:val="0"/>
        </w:rPr>
        <w:t>1</w:t>
      </w:r>
      <w:r>
        <w:rPr>
          <w:kern w:val="0"/>
        </w:rPr>
        <w:t>）完成市</w:t>
      </w:r>
      <w:r>
        <w:rPr>
          <w:rFonts w:hint="eastAsia"/>
          <w:kern w:val="0"/>
        </w:rPr>
        <w:t>、</w:t>
      </w:r>
      <w:r>
        <w:rPr>
          <w:kern w:val="0"/>
        </w:rPr>
        <w:t>区两级原粮承储计划</w:t>
      </w:r>
      <w:r>
        <w:rPr>
          <w:rFonts w:hint="eastAsia"/>
          <w:kern w:val="0"/>
        </w:rPr>
        <w:t>和</w:t>
      </w:r>
      <w:r>
        <w:rPr>
          <w:kern w:val="0"/>
        </w:rPr>
        <w:t>市级成品粮油储备计划</w:t>
      </w:r>
      <w:r>
        <w:rPr>
          <w:rFonts w:hint="eastAsia"/>
          <w:kern w:val="0"/>
        </w:rPr>
        <w:t>，</w:t>
      </w:r>
      <w:r>
        <w:rPr>
          <w:kern w:val="0"/>
        </w:rPr>
        <w:t>按财政补贴资金管理规</w:t>
      </w:r>
      <w:r>
        <w:rPr>
          <w:kern w:val="0"/>
        </w:rPr>
        <w:t>定，及时、足额审核拨付财政补贴。</w:t>
      </w:r>
    </w:p>
    <w:p w:rsidR="00122B6D" w:rsidRDefault="00F01EEF">
      <w:pPr>
        <w:widowControl w:val="0"/>
        <w:adjustRightInd w:val="0"/>
        <w:snapToGrid w:val="0"/>
        <w:ind w:firstLineChars="200" w:firstLine="640"/>
        <w:rPr>
          <w:kern w:val="0"/>
        </w:rPr>
      </w:pPr>
      <w:r>
        <w:rPr>
          <w:kern w:val="0"/>
        </w:rPr>
        <w:t>（</w:t>
      </w:r>
      <w:r>
        <w:rPr>
          <w:kern w:val="0"/>
        </w:rPr>
        <w:t>2</w:t>
      </w:r>
      <w:r>
        <w:rPr>
          <w:kern w:val="0"/>
        </w:rPr>
        <w:t>）委托南京市储备粮油管理有限公司开展市级储备粮油信息收集和数据核实服务工作。</w:t>
      </w:r>
    </w:p>
    <w:p w:rsidR="00122B6D" w:rsidRDefault="00F01EEF">
      <w:pPr>
        <w:widowControl w:val="0"/>
        <w:adjustRightInd w:val="0"/>
        <w:snapToGrid w:val="0"/>
        <w:ind w:firstLineChars="200" w:firstLine="640"/>
        <w:rPr>
          <w:color w:val="000000"/>
          <w:kern w:val="0"/>
        </w:rPr>
      </w:pPr>
      <w:r>
        <w:rPr>
          <w:kern w:val="0"/>
        </w:rPr>
        <w:t>（</w:t>
      </w:r>
      <w:r>
        <w:rPr>
          <w:kern w:val="0"/>
        </w:rPr>
        <w:t>3</w:t>
      </w:r>
      <w:r>
        <w:rPr>
          <w:kern w:val="0"/>
        </w:rPr>
        <w:t>）</w:t>
      </w:r>
      <w:r>
        <w:rPr>
          <w:color w:val="000000"/>
          <w:kern w:val="0"/>
        </w:rPr>
        <w:t>根据《宁淮粮食产销合作战略协议</w:t>
      </w:r>
      <w:r>
        <w:rPr>
          <w:color w:val="000000"/>
          <w:kern w:val="0"/>
        </w:rPr>
        <w:t>(2024-2028</w:t>
      </w:r>
      <w:r>
        <w:rPr>
          <w:color w:val="000000"/>
          <w:kern w:val="0"/>
        </w:rPr>
        <w:t>年</w:t>
      </w:r>
      <w:r>
        <w:rPr>
          <w:color w:val="000000"/>
          <w:kern w:val="0"/>
        </w:rPr>
        <w:t>)</w:t>
      </w:r>
      <w:r>
        <w:rPr>
          <w:color w:val="000000"/>
          <w:kern w:val="0"/>
        </w:rPr>
        <w:t>》相关条款</w:t>
      </w:r>
      <w:r>
        <w:rPr>
          <w:rFonts w:hint="eastAsia"/>
          <w:color w:val="000000"/>
          <w:kern w:val="0"/>
        </w:rPr>
        <w:t>，</w:t>
      </w:r>
      <w:r>
        <w:rPr>
          <w:color w:val="000000"/>
          <w:kern w:val="0"/>
        </w:rPr>
        <w:t>淮安市</w:t>
      </w:r>
      <w:r>
        <w:rPr>
          <w:rFonts w:hint="eastAsia"/>
          <w:color w:val="000000"/>
          <w:kern w:val="0"/>
        </w:rPr>
        <w:t>每年供应</w:t>
      </w:r>
      <w:r>
        <w:rPr>
          <w:color w:val="000000"/>
          <w:kern w:val="0"/>
        </w:rPr>
        <w:t>南京市场</w:t>
      </w:r>
      <w:r>
        <w:rPr>
          <w:rFonts w:hint="eastAsia"/>
          <w:kern w:val="0"/>
        </w:rPr>
        <w:t>**</w:t>
      </w:r>
      <w:r>
        <w:rPr>
          <w:color w:val="000000"/>
          <w:kern w:val="0"/>
        </w:rPr>
        <w:t>万吨稻谷</w:t>
      </w:r>
      <w:r>
        <w:rPr>
          <w:rFonts w:hint="eastAsia"/>
          <w:color w:val="000000"/>
          <w:kern w:val="0"/>
        </w:rPr>
        <w:t>和</w:t>
      </w:r>
      <w:r>
        <w:rPr>
          <w:color w:val="000000"/>
          <w:kern w:val="0"/>
        </w:rPr>
        <w:t>小麦。在</w:t>
      </w:r>
      <w:r>
        <w:rPr>
          <w:rFonts w:hint="eastAsia"/>
          <w:color w:val="000000"/>
          <w:kern w:val="0"/>
        </w:rPr>
        <w:t>南京发生</w:t>
      </w:r>
      <w:r>
        <w:rPr>
          <w:color w:val="000000"/>
          <w:kern w:val="0"/>
        </w:rPr>
        <w:t>应急</w:t>
      </w:r>
      <w:r>
        <w:rPr>
          <w:rFonts w:hint="eastAsia"/>
          <w:color w:val="000000"/>
          <w:kern w:val="0"/>
        </w:rPr>
        <w:t>状态时，及时组织企业供应南京市场成品粮，</w:t>
      </w:r>
      <w:r>
        <w:rPr>
          <w:color w:val="000000"/>
          <w:kern w:val="0"/>
        </w:rPr>
        <w:t>确保半个月供应</w:t>
      </w:r>
      <w:r>
        <w:rPr>
          <w:rFonts w:hint="eastAsia"/>
          <w:kern w:val="0"/>
        </w:rPr>
        <w:t>**</w:t>
      </w:r>
      <w:r>
        <w:rPr>
          <w:color w:val="000000"/>
          <w:kern w:val="0"/>
        </w:rPr>
        <w:t>万吨。</w:t>
      </w:r>
    </w:p>
    <w:p w:rsidR="00122B6D" w:rsidRDefault="00F01EEF">
      <w:pPr>
        <w:widowControl w:val="0"/>
        <w:adjustRightInd w:val="0"/>
        <w:snapToGrid w:val="0"/>
        <w:ind w:firstLineChars="200" w:firstLine="640"/>
        <w:rPr>
          <w:kern w:val="0"/>
        </w:rPr>
      </w:pPr>
      <w:r>
        <w:rPr>
          <w:kern w:val="0"/>
        </w:rPr>
        <w:t>（</w:t>
      </w:r>
      <w:r>
        <w:rPr>
          <w:kern w:val="0"/>
        </w:rPr>
        <w:t>4</w:t>
      </w:r>
      <w:r>
        <w:rPr>
          <w:kern w:val="0"/>
        </w:rPr>
        <w:t>）对粮食仓储设施</w:t>
      </w:r>
      <w:r>
        <w:rPr>
          <w:rFonts w:hint="eastAsia"/>
          <w:kern w:val="0"/>
        </w:rPr>
        <w:t>升级改造、绿色仓储能力提升及品牌</w:t>
      </w:r>
      <w:r>
        <w:rPr>
          <w:kern w:val="0"/>
        </w:rPr>
        <w:t>建设方面进行补贴。</w:t>
      </w:r>
    </w:p>
    <w:p w:rsidR="00122B6D" w:rsidRDefault="00F01EEF">
      <w:pPr>
        <w:widowControl w:val="0"/>
        <w:adjustRightInd w:val="0"/>
        <w:snapToGrid w:val="0"/>
        <w:ind w:firstLineChars="200" w:firstLine="640"/>
        <w:jc w:val="left"/>
        <w:outlineLvl w:val="1"/>
        <w:rPr>
          <w:rFonts w:eastAsia="方正楷体_GBK"/>
          <w:kern w:val="0"/>
        </w:rPr>
      </w:pPr>
      <w:bookmarkStart w:id="5" w:name="_Toc30298"/>
      <w:r>
        <w:rPr>
          <w:rFonts w:eastAsia="方正楷体_GBK"/>
          <w:kern w:val="0"/>
        </w:rPr>
        <w:lastRenderedPageBreak/>
        <w:t>（二）项目资金情况</w:t>
      </w:r>
      <w:bookmarkEnd w:id="5"/>
    </w:p>
    <w:p w:rsidR="00122B6D" w:rsidRDefault="00F01EEF">
      <w:pPr>
        <w:widowControl w:val="0"/>
        <w:adjustRightInd w:val="0"/>
        <w:snapToGrid w:val="0"/>
        <w:ind w:firstLineChars="300" w:firstLine="960"/>
        <w:rPr>
          <w:color w:val="FF0000"/>
          <w:kern w:val="0"/>
        </w:rPr>
      </w:pPr>
      <w:r>
        <w:rPr>
          <w:rFonts w:hint="eastAsia"/>
          <w:kern w:val="0"/>
        </w:rPr>
        <w:t>2025</w:t>
      </w:r>
      <w:r>
        <w:rPr>
          <w:rFonts w:hint="eastAsia"/>
          <w:kern w:val="0"/>
        </w:rPr>
        <w:t>年</w:t>
      </w:r>
      <w:r>
        <w:rPr>
          <w:kern w:val="0"/>
        </w:rPr>
        <w:t>度粮食专项补助资金项目</w:t>
      </w:r>
      <w:r>
        <w:rPr>
          <w:rFonts w:hint="eastAsia"/>
          <w:kern w:val="0"/>
        </w:rPr>
        <w:t>市级财政补贴</w:t>
      </w:r>
      <w:r>
        <w:rPr>
          <w:kern w:val="0"/>
        </w:rPr>
        <w:t>预算</w:t>
      </w:r>
      <w:r>
        <w:rPr>
          <w:rFonts w:hint="eastAsia"/>
          <w:kern w:val="0"/>
        </w:rPr>
        <w:t>金额</w:t>
      </w:r>
      <w:r>
        <w:rPr>
          <w:kern w:val="0"/>
        </w:rPr>
        <w:t>为</w:t>
      </w:r>
      <w:r>
        <w:rPr>
          <w:rFonts w:hint="eastAsia"/>
          <w:kern w:val="0"/>
        </w:rPr>
        <w:t>**</w:t>
      </w:r>
      <w:r>
        <w:rPr>
          <w:kern w:val="0"/>
        </w:rPr>
        <w:t>万元，</w:t>
      </w:r>
      <w:r>
        <w:rPr>
          <w:rFonts w:hint="eastAsia"/>
          <w:kern w:val="0"/>
        </w:rPr>
        <w:t>市级财政补贴预算资金执行金额为</w:t>
      </w:r>
      <w:r>
        <w:rPr>
          <w:rFonts w:hint="eastAsia"/>
          <w:kern w:val="0"/>
        </w:rPr>
        <w:t>**</w:t>
      </w:r>
      <w:r>
        <w:rPr>
          <w:rFonts w:hint="eastAsia"/>
          <w:kern w:val="0"/>
        </w:rPr>
        <w:t>万元，预算执行率为</w:t>
      </w:r>
      <w:r>
        <w:rPr>
          <w:rFonts w:hint="eastAsia"/>
          <w:kern w:val="0"/>
        </w:rPr>
        <w:t>93.39%</w:t>
      </w:r>
      <w:r>
        <w:rPr>
          <w:rFonts w:hint="eastAsia"/>
          <w:kern w:val="0"/>
        </w:rPr>
        <w:t>，</w:t>
      </w:r>
      <w:r>
        <w:rPr>
          <w:kern w:val="0"/>
        </w:rPr>
        <w:t>其中，粮食储备专项</w:t>
      </w:r>
      <w:r>
        <w:rPr>
          <w:rFonts w:hint="eastAsia"/>
          <w:kern w:val="0"/>
        </w:rPr>
        <w:t>市级补贴</w:t>
      </w:r>
      <w:r>
        <w:rPr>
          <w:kern w:val="0"/>
        </w:rPr>
        <w:t>预算</w:t>
      </w:r>
      <w:r>
        <w:rPr>
          <w:rFonts w:hint="eastAsia"/>
          <w:kern w:val="0"/>
        </w:rPr>
        <w:t>资金金额为</w:t>
      </w:r>
      <w:r>
        <w:rPr>
          <w:rFonts w:hint="eastAsia"/>
          <w:kern w:val="0"/>
        </w:rPr>
        <w:t>**</w:t>
      </w:r>
      <w:r>
        <w:rPr>
          <w:kern w:val="0"/>
        </w:rPr>
        <w:t>万元，执行金额为</w:t>
      </w:r>
      <w:r>
        <w:rPr>
          <w:rFonts w:hint="eastAsia"/>
          <w:kern w:val="0"/>
        </w:rPr>
        <w:t>**</w:t>
      </w:r>
      <w:r>
        <w:rPr>
          <w:kern w:val="0"/>
        </w:rPr>
        <w:t>万元，</w:t>
      </w:r>
      <w:r>
        <w:rPr>
          <w:rFonts w:hint="eastAsia"/>
          <w:kern w:val="0"/>
        </w:rPr>
        <w:t>该部分</w:t>
      </w:r>
      <w:r>
        <w:rPr>
          <w:kern w:val="0"/>
        </w:rPr>
        <w:t>预算执行率为</w:t>
      </w:r>
      <w:r>
        <w:rPr>
          <w:rFonts w:hint="eastAsia"/>
          <w:kern w:val="0"/>
        </w:rPr>
        <w:t>92.78%</w:t>
      </w:r>
      <w:r>
        <w:rPr>
          <w:kern w:val="0"/>
        </w:rPr>
        <w:t>；粮食仓储物流能力建设及产业发展专项预算金额为</w:t>
      </w:r>
      <w:r>
        <w:rPr>
          <w:rFonts w:hint="eastAsia"/>
          <w:kern w:val="0"/>
        </w:rPr>
        <w:t>**</w:t>
      </w:r>
      <w:r>
        <w:rPr>
          <w:kern w:val="0"/>
        </w:rPr>
        <w:t>万元，执行金额</w:t>
      </w:r>
      <w:r>
        <w:rPr>
          <w:rFonts w:hint="eastAsia"/>
          <w:kern w:val="0"/>
        </w:rPr>
        <w:t>**</w:t>
      </w:r>
      <w:r>
        <w:rPr>
          <w:kern w:val="0"/>
        </w:rPr>
        <w:t>万元，</w:t>
      </w:r>
      <w:r>
        <w:rPr>
          <w:rFonts w:hint="eastAsia"/>
          <w:kern w:val="0"/>
        </w:rPr>
        <w:t>该部分</w:t>
      </w:r>
      <w:r>
        <w:rPr>
          <w:kern w:val="0"/>
        </w:rPr>
        <w:t>预算执行率为</w:t>
      </w:r>
      <w:r>
        <w:rPr>
          <w:kern w:val="0"/>
        </w:rPr>
        <w:t>100.00%</w:t>
      </w:r>
      <w:r>
        <w:rPr>
          <w:rFonts w:hint="eastAsia"/>
          <w:kern w:val="0"/>
        </w:rPr>
        <w:t>。</w:t>
      </w:r>
    </w:p>
    <w:p w:rsidR="00122B6D" w:rsidRDefault="00F01EEF">
      <w:pPr>
        <w:pStyle w:val="a3"/>
        <w:widowControl w:val="0"/>
        <w:adjustRightInd w:val="0"/>
        <w:snapToGrid w:val="0"/>
        <w:spacing w:after="0"/>
        <w:jc w:val="center"/>
        <w:rPr>
          <w:rFonts w:eastAsia="方正黑体_GBK"/>
          <w:kern w:val="0"/>
          <w:sz w:val="28"/>
          <w:szCs w:val="28"/>
        </w:rPr>
      </w:pPr>
      <w:r>
        <w:rPr>
          <w:rFonts w:eastAsia="方正黑体_GBK"/>
          <w:kern w:val="0"/>
          <w:sz w:val="28"/>
          <w:szCs w:val="28"/>
        </w:rPr>
        <w:t>表</w:t>
      </w:r>
      <w:r>
        <w:rPr>
          <w:rFonts w:eastAsia="方正黑体_GBK" w:hint="eastAsia"/>
          <w:kern w:val="0"/>
          <w:sz w:val="28"/>
          <w:szCs w:val="28"/>
        </w:rPr>
        <w:t>1</w:t>
      </w:r>
      <w:r>
        <w:rPr>
          <w:rFonts w:eastAsia="方正黑体_GBK" w:hint="eastAsia"/>
          <w:kern w:val="0"/>
          <w:sz w:val="28"/>
          <w:szCs w:val="28"/>
        </w:rPr>
        <w:t>：</w:t>
      </w:r>
      <w:r>
        <w:rPr>
          <w:rFonts w:eastAsia="方正黑体_GBK" w:hint="eastAsia"/>
          <w:kern w:val="0"/>
          <w:sz w:val="28"/>
          <w:szCs w:val="28"/>
        </w:rPr>
        <w:t>2025</w:t>
      </w:r>
      <w:r>
        <w:rPr>
          <w:rFonts w:eastAsia="方正黑体_GBK" w:hint="eastAsia"/>
          <w:kern w:val="0"/>
          <w:sz w:val="28"/>
          <w:szCs w:val="28"/>
        </w:rPr>
        <w:t>年</w:t>
      </w:r>
      <w:r>
        <w:rPr>
          <w:rFonts w:eastAsia="方正黑体_GBK"/>
          <w:kern w:val="0"/>
          <w:sz w:val="28"/>
          <w:szCs w:val="28"/>
        </w:rPr>
        <w:t>度粮食专项补助资金项目预算执行情况</w:t>
      </w:r>
    </w:p>
    <w:tbl>
      <w:tblPr>
        <w:tblW w:w="5000" w:type="pct"/>
        <w:jc w:val="center"/>
        <w:tblLook w:val="04A0" w:firstRow="1" w:lastRow="0" w:firstColumn="1" w:lastColumn="0" w:noHBand="0" w:noVBand="1"/>
      </w:tblPr>
      <w:tblGrid>
        <w:gridCol w:w="1046"/>
        <w:gridCol w:w="3578"/>
        <w:gridCol w:w="1371"/>
        <w:gridCol w:w="1549"/>
        <w:gridCol w:w="1517"/>
      </w:tblGrid>
      <w:tr w:rsidR="00122B6D">
        <w:trPr>
          <w:trHeight w:val="23"/>
          <w:jc w:val="center"/>
        </w:trPr>
        <w:tc>
          <w:tcPr>
            <w:tcW w:w="1025"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kern w:val="0"/>
                <w:sz w:val="21"/>
                <w:szCs w:val="21"/>
              </w:rPr>
            </w:pPr>
            <w:r>
              <w:rPr>
                <w:rFonts w:ascii="方正楷体_GBK" w:eastAsia="方正楷体_GBK" w:hAnsi="方正楷体_GBK" w:cs="方正楷体_GBK" w:hint="eastAsia"/>
                <w:b/>
                <w:bCs/>
                <w:kern w:val="0"/>
                <w:sz w:val="21"/>
                <w:szCs w:val="21"/>
              </w:rPr>
              <w:t>项目</w:t>
            </w:r>
          </w:p>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类型</w:t>
            </w:r>
          </w:p>
        </w:tc>
        <w:tc>
          <w:tcPr>
            <w:tcW w:w="350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项目名称</w:t>
            </w:r>
          </w:p>
        </w:tc>
        <w:tc>
          <w:tcPr>
            <w:tcW w:w="1343"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预算金额</w:t>
            </w:r>
          </w:p>
        </w:tc>
        <w:tc>
          <w:tcPr>
            <w:tcW w:w="1518"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执行金额</w:t>
            </w:r>
          </w:p>
        </w:tc>
        <w:tc>
          <w:tcPr>
            <w:tcW w:w="148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预算执行率</w:t>
            </w:r>
          </w:p>
        </w:tc>
      </w:tr>
      <w:tr w:rsidR="00122B6D">
        <w:trPr>
          <w:trHeight w:val="23"/>
          <w:jc w:val="center"/>
        </w:trPr>
        <w:tc>
          <w:tcPr>
            <w:tcW w:w="1025" w:type="dxa"/>
            <w:vMerge w:val="restart"/>
            <w:tcBorders>
              <w:top w:val="single" w:sz="4" w:space="0" w:color="000000"/>
              <w:left w:val="single" w:sz="4" w:space="0" w:color="000000"/>
              <w:bottom w:val="nil"/>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kern w:val="0"/>
                <w:sz w:val="21"/>
                <w:szCs w:val="21"/>
              </w:rPr>
            </w:pPr>
            <w:r>
              <w:rPr>
                <w:rFonts w:ascii="方正楷体_GBK" w:eastAsia="方正楷体_GBK" w:hAnsi="方正楷体_GBK" w:cs="方正楷体_GBK" w:hint="eastAsia"/>
                <w:kern w:val="0"/>
                <w:sz w:val="21"/>
                <w:szCs w:val="21"/>
              </w:rPr>
              <w:t>粮食</w:t>
            </w:r>
          </w:p>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ascii="方正楷体_GBK" w:eastAsia="方正楷体_GBK" w:hAnsi="方正楷体_GBK" w:cs="方正楷体_GBK" w:hint="eastAsia"/>
                <w:kern w:val="0"/>
                <w:sz w:val="21"/>
                <w:szCs w:val="21"/>
              </w:rPr>
              <w:t>储备</w:t>
            </w:r>
          </w:p>
        </w:tc>
        <w:tc>
          <w:tcPr>
            <w:tcW w:w="350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left"/>
              <w:textAlignment w:val="center"/>
              <w:rPr>
                <w:rFonts w:ascii="方正楷体_GBK" w:eastAsia="方正楷体_GBK" w:hAnsi="方正楷体_GBK" w:cs="方正楷体_GBK"/>
                <w:sz w:val="21"/>
                <w:szCs w:val="21"/>
              </w:rPr>
            </w:pPr>
            <w:r>
              <w:rPr>
                <w:rFonts w:ascii="方正楷体_GBK" w:eastAsia="方正楷体_GBK" w:hAnsi="方正楷体_GBK" w:cs="方正楷体_GBK" w:hint="eastAsia"/>
                <w:kern w:val="0"/>
                <w:sz w:val="21"/>
                <w:szCs w:val="21"/>
              </w:rPr>
              <w:t>地方储备粮、市级成品粮油费用补贴</w:t>
            </w:r>
          </w:p>
        </w:tc>
        <w:tc>
          <w:tcPr>
            <w:tcW w:w="1343"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hint="eastAsia"/>
                <w:kern w:val="0"/>
              </w:rPr>
              <w:t>**</w:t>
            </w:r>
          </w:p>
        </w:tc>
        <w:tc>
          <w:tcPr>
            <w:tcW w:w="1518"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hint="eastAsia"/>
                <w:kern w:val="0"/>
              </w:rPr>
              <w:t>**</w:t>
            </w:r>
          </w:p>
        </w:tc>
        <w:tc>
          <w:tcPr>
            <w:tcW w:w="148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eastAsia="方正楷体_GBK" w:cs="方正楷体_GBK" w:hint="eastAsia"/>
                <w:sz w:val="21"/>
                <w:szCs w:val="21"/>
              </w:rPr>
              <w:t>92.29</w:t>
            </w:r>
            <w:r>
              <w:rPr>
                <w:rFonts w:ascii="方正楷体_GBK" w:eastAsia="方正楷体_GBK" w:hAnsi="方正楷体_GBK" w:cs="方正楷体_GBK" w:hint="eastAsia"/>
                <w:sz w:val="21"/>
                <w:szCs w:val="21"/>
              </w:rPr>
              <w:t>%</w:t>
            </w:r>
          </w:p>
        </w:tc>
      </w:tr>
      <w:tr w:rsidR="00122B6D">
        <w:trPr>
          <w:trHeight w:val="23"/>
          <w:jc w:val="center"/>
        </w:trPr>
        <w:tc>
          <w:tcPr>
            <w:tcW w:w="1025" w:type="dxa"/>
            <w:vMerge/>
            <w:tcBorders>
              <w:top w:val="single" w:sz="4" w:space="0" w:color="000000"/>
              <w:left w:val="single" w:sz="4" w:space="0" w:color="000000"/>
              <w:bottom w:val="nil"/>
              <w:right w:val="single" w:sz="4" w:space="0" w:color="000000"/>
            </w:tcBorders>
            <w:noWrap/>
            <w:vAlign w:val="center"/>
          </w:tcPr>
          <w:p w:rsidR="00122B6D" w:rsidRDefault="00122B6D">
            <w:pPr>
              <w:widowControl w:val="0"/>
              <w:adjustRightInd w:val="0"/>
              <w:snapToGrid w:val="0"/>
              <w:spacing w:line="240" w:lineRule="auto"/>
              <w:jc w:val="center"/>
              <w:rPr>
                <w:rFonts w:ascii="方正楷体_GBK" w:eastAsia="方正楷体_GBK" w:hAnsi="方正楷体_GBK" w:cs="方正楷体_GBK"/>
                <w:sz w:val="21"/>
                <w:szCs w:val="21"/>
              </w:rPr>
            </w:pPr>
          </w:p>
        </w:tc>
        <w:tc>
          <w:tcPr>
            <w:tcW w:w="350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left"/>
              <w:textAlignment w:val="center"/>
              <w:rPr>
                <w:rFonts w:ascii="方正楷体_GBK" w:eastAsia="方正楷体_GBK" w:hAnsi="方正楷体_GBK" w:cs="方正楷体_GBK"/>
                <w:sz w:val="21"/>
                <w:szCs w:val="21"/>
              </w:rPr>
            </w:pPr>
            <w:r>
              <w:rPr>
                <w:rFonts w:ascii="方正楷体_GBK" w:eastAsia="方正楷体_GBK" w:hAnsi="方正楷体_GBK" w:cs="方正楷体_GBK" w:hint="eastAsia"/>
                <w:kern w:val="0"/>
                <w:sz w:val="21"/>
                <w:szCs w:val="21"/>
              </w:rPr>
              <w:t>市级储备粮监管费</w:t>
            </w:r>
          </w:p>
        </w:tc>
        <w:tc>
          <w:tcPr>
            <w:tcW w:w="1343"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hint="eastAsia"/>
                <w:kern w:val="0"/>
              </w:rPr>
              <w:t>**</w:t>
            </w:r>
          </w:p>
        </w:tc>
        <w:tc>
          <w:tcPr>
            <w:tcW w:w="1518"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hint="eastAsia"/>
                <w:kern w:val="0"/>
              </w:rPr>
              <w:t>**</w:t>
            </w:r>
          </w:p>
        </w:tc>
        <w:tc>
          <w:tcPr>
            <w:tcW w:w="148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eastAsia="方正楷体_GBK" w:cs="方正楷体_GBK" w:hint="eastAsia"/>
                <w:kern w:val="0"/>
                <w:sz w:val="21"/>
                <w:szCs w:val="21"/>
              </w:rPr>
              <w:t>100</w:t>
            </w:r>
            <w:r>
              <w:rPr>
                <w:rFonts w:ascii="方正楷体_GBK" w:eastAsia="方正楷体_GBK" w:hAnsi="方正楷体_GBK" w:cs="方正楷体_GBK" w:hint="eastAsia"/>
                <w:kern w:val="0"/>
                <w:sz w:val="21"/>
                <w:szCs w:val="21"/>
              </w:rPr>
              <w:t>.</w:t>
            </w:r>
            <w:r>
              <w:rPr>
                <w:rFonts w:eastAsia="方正楷体_GBK" w:cs="方正楷体_GBK" w:hint="eastAsia"/>
                <w:kern w:val="0"/>
                <w:sz w:val="21"/>
                <w:szCs w:val="21"/>
              </w:rPr>
              <w:t>00</w:t>
            </w:r>
            <w:r>
              <w:rPr>
                <w:rFonts w:ascii="方正楷体_GBK" w:eastAsia="方正楷体_GBK" w:hAnsi="方正楷体_GBK" w:cs="方正楷体_GBK" w:hint="eastAsia"/>
                <w:kern w:val="0"/>
                <w:sz w:val="21"/>
                <w:szCs w:val="21"/>
              </w:rPr>
              <w:t>%</w:t>
            </w:r>
          </w:p>
        </w:tc>
      </w:tr>
      <w:tr w:rsidR="00122B6D">
        <w:trPr>
          <w:trHeight w:val="352"/>
          <w:jc w:val="center"/>
        </w:trPr>
        <w:tc>
          <w:tcPr>
            <w:tcW w:w="1025" w:type="dxa"/>
            <w:vMerge/>
            <w:tcBorders>
              <w:top w:val="single" w:sz="4" w:space="0" w:color="000000"/>
              <w:left w:val="single" w:sz="4" w:space="0" w:color="000000"/>
              <w:bottom w:val="nil"/>
              <w:right w:val="single" w:sz="4" w:space="0" w:color="000000"/>
            </w:tcBorders>
            <w:noWrap/>
            <w:vAlign w:val="center"/>
          </w:tcPr>
          <w:p w:rsidR="00122B6D" w:rsidRDefault="00122B6D">
            <w:pPr>
              <w:widowControl w:val="0"/>
              <w:adjustRightInd w:val="0"/>
              <w:snapToGrid w:val="0"/>
              <w:spacing w:line="240" w:lineRule="auto"/>
              <w:jc w:val="center"/>
              <w:rPr>
                <w:rFonts w:ascii="方正楷体_GBK" w:eastAsia="方正楷体_GBK" w:hAnsi="方正楷体_GBK" w:cs="方正楷体_GBK"/>
                <w:sz w:val="21"/>
                <w:szCs w:val="21"/>
              </w:rPr>
            </w:pPr>
          </w:p>
        </w:tc>
        <w:tc>
          <w:tcPr>
            <w:tcW w:w="350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left"/>
              <w:textAlignment w:val="center"/>
              <w:rPr>
                <w:rFonts w:ascii="方正楷体_GBK" w:eastAsia="方正楷体_GBK" w:hAnsi="方正楷体_GBK" w:cs="方正楷体_GBK"/>
                <w:sz w:val="21"/>
                <w:szCs w:val="21"/>
              </w:rPr>
            </w:pPr>
            <w:r>
              <w:rPr>
                <w:rFonts w:ascii="方正楷体_GBK" w:eastAsia="方正楷体_GBK" w:hAnsi="方正楷体_GBK" w:cs="方正楷体_GBK" w:hint="eastAsia"/>
                <w:kern w:val="0"/>
                <w:sz w:val="21"/>
                <w:szCs w:val="21"/>
              </w:rPr>
              <w:t>宁淮稻米基地专项补贴</w:t>
            </w:r>
          </w:p>
        </w:tc>
        <w:tc>
          <w:tcPr>
            <w:tcW w:w="1343"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hint="eastAsia"/>
                <w:kern w:val="0"/>
              </w:rPr>
              <w:t>**</w:t>
            </w:r>
          </w:p>
        </w:tc>
        <w:tc>
          <w:tcPr>
            <w:tcW w:w="1518"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hint="eastAsia"/>
                <w:kern w:val="0"/>
              </w:rPr>
              <w:t>**</w:t>
            </w:r>
          </w:p>
        </w:tc>
        <w:tc>
          <w:tcPr>
            <w:tcW w:w="148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eastAsia="方正楷体_GBK" w:cs="方正楷体_GBK" w:hint="eastAsia"/>
                <w:kern w:val="0"/>
                <w:sz w:val="21"/>
                <w:szCs w:val="21"/>
              </w:rPr>
              <w:t>100</w:t>
            </w:r>
            <w:r>
              <w:rPr>
                <w:rFonts w:ascii="方正楷体_GBK" w:eastAsia="方正楷体_GBK" w:hAnsi="方正楷体_GBK" w:cs="方正楷体_GBK" w:hint="eastAsia"/>
                <w:kern w:val="0"/>
                <w:sz w:val="21"/>
                <w:szCs w:val="21"/>
              </w:rPr>
              <w:t>.</w:t>
            </w:r>
            <w:r>
              <w:rPr>
                <w:rFonts w:eastAsia="方正楷体_GBK" w:cs="方正楷体_GBK" w:hint="eastAsia"/>
                <w:kern w:val="0"/>
                <w:sz w:val="21"/>
                <w:szCs w:val="21"/>
              </w:rPr>
              <w:t>00</w:t>
            </w:r>
            <w:r>
              <w:rPr>
                <w:rFonts w:ascii="方正楷体_GBK" w:eastAsia="方正楷体_GBK" w:hAnsi="方正楷体_GBK" w:cs="方正楷体_GBK" w:hint="eastAsia"/>
                <w:kern w:val="0"/>
                <w:sz w:val="21"/>
                <w:szCs w:val="21"/>
              </w:rPr>
              <w:t>%</w:t>
            </w:r>
          </w:p>
        </w:tc>
      </w:tr>
      <w:tr w:rsidR="00122B6D">
        <w:trPr>
          <w:trHeight w:val="23"/>
          <w:jc w:val="center"/>
        </w:trPr>
        <w:tc>
          <w:tcPr>
            <w:tcW w:w="1025" w:type="dxa"/>
            <w:vMerge/>
            <w:tcBorders>
              <w:top w:val="single" w:sz="4" w:space="0" w:color="000000"/>
              <w:left w:val="single" w:sz="4" w:space="0" w:color="000000"/>
              <w:bottom w:val="nil"/>
              <w:right w:val="single" w:sz="4" w:space="0" w:color="000000"/>
            </w:tcBorders>
            <w:noWrap/>
            <w:vAlign w:val="center"/>
          </w:tcPr>
          <w:p w:rsidR="00122B6D" w:rsidRDefault="00122B6D">
            <w:pPr>
              <w:widowControl w:val="0"/>
              <w:adjustRightInd w:val="0"/>
              <w:snapToGrid w:val="0"/>
              <w:spacing w:line="240" w:lineRule="auto"/>
              <w:jc w:val="center"/>
              <w:rPr>
                <w:rFonts w:ascii="方正楷体_GBK" w:eastAsia="方正楷体_GBK" w:hAnsi="方正楷体_GBK" w:cs="方正楷体_GBK"/>
                <w:sz w:val="21"/>
                <w:szCs w:val="21"/>
              </w:rPr>
            </w:pPr>
          </w:p>
        </w:tc>
        <w:tc>
          <w:tcPr>
            <w:tcW w:w="350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小计</w:t>
            </w:r>
          </w:p>
        </w:tc>
        <w:tc>
          <w:tcPr>
            <w:tcW w:w="1343"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hint="eastAsia"/>
                <w:kern w:val="0"/>
              </w:rPr>
              <w:t>**</w:t>
            </w:r>
          </w:p>
        </w:tc>
        <w:tc>
          <w:tcPr>
            <w:tcW w:w="1518"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hint="eastAsia"/>
                <w:kern w:val="0"/>
              </w:rPr>
              <w:t>**</w:t>
            </w:r>
          </w:p>
        </w:tc>
        <w:tc>
          <w:tcPr>
            <w:tcW w:w="148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eastAsia="方正楷体_GBK" w:cs="方正楷体_GBK" w:hint="eastAsia"/>
                <w:b/>
                <w:bCs/>
                <w:sz w:val="21"/>
                <w:szCs w:val="21"/>
              </w:rPr>
              <w:t>92.78</w:t>
            </w:r>
            <w:r>
              <w:rPr>
                <w:rFonts w:ascii="方正楷体_GBK" w:eastAsia="方正楷体_GBK" w:hAnsi="方正楷体_GBK" w:cs="方正楷体_GBK" w:hint="eastAsia"/>
                <w:b/>
                <w:bCs/>
                <w:sz w:val="21"/>
                <w:szCs w:val="21"/>
              </w:rPr>
              <w:t>%</w:t>
            </w:r>
          </w:p>
        </w:tc>
      </w:tr>
      <w:tr w:rsidR="00122B6D">
        <w:trPr>
          <w:trHeight w:val="23"/>
          <w:jc w:val="center"/>
        </w:trPr>
        <w:tc>
          <w:tcPr>
            <w:tcW w:w="1025" w:type="dxa"/>
            <w:vMerge w:val="restart"/>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ascii="方正楷体_GBK" w:eastAsia="方正楷体_GBK" w:hAnsi="方正楷体_GBK" w:cs="方正楷体_GBK" w:hint="eastAsia"/>
                <w:kern w:val="0"/>
                <w:sz w:val="21"/>
                <w:szCs w:val="21"/>
              </w:rPr>
              <w:t>粮食仓储物流能力建设及产业发展专项</w:t>
            </w:r>
          </w:p>
        </w:tc>
        <w:tc>
          <w:tcPr>
            <w:tcW w:w="350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left"/>
              <w:textAlignment w:val="center"/>
              <w:rPr>
                <w:rFonts w:ascii="方正楷体_GBK" w:eastAsia="方正楷体_GBK" w:hAnsi="方正楷体_GBK" w:cs="方正楷体_GBK"/>
                <w:kern w:val="0"/>
                <w:sz w:val="21"/>
                <w:szCs w:val="21"/>
              </w:rPr>
            </w:pPr>
            <w:r>
              <w:rPr>
                <w:rFonts w:ascii="方正楷体_GBK" w:eastAsia="方正楷体_GBK" w:hAnsi="方正楷体_GBK" w:cs="方正楷体_GBK" w:hint="eastAsia"/>
                <w:kern w:val="0"/>
                <w:sz w:val="21"/>
                <w:szCs w:val="21"/>
              </w:rPr>
              <w:t>粮食仓储设施建设</w:t>
            </w:r>
          </w:p>
        </w:tc>
        <w:tc>
          <w:tcPr>
            <w:tcW w:w="1343" w:type="dxa"/>
            <w:tcBorders>
              <w:top w:val="single" w:sz="4" w:space="0" w:color="000000"/>
              <w:left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hint="eastAsia"/>
                <w:kern w:val="0"/>
              </w:rPr>
              <w:t>**</w:t>
            </w:r>
          </w:p>
        </w:tc>
        <w:tc>
          <w:tcPr>
            <w:tcW w:w="1518" w:type="dxa"/>
            <w:tcBorders>
              <w:top w:val="single" w:sz="4" w:space="0" w:color="000000"/>
              <w:left w:val="single" w:sz="4" w:space="0" w:color="000000"/>
              <w:bottom w:val="single" w:sz="4" w:space="0" w:color="auto"/>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hint="eastAsia"/>
                <w:kern w:val="0"/>
              </w:rPr>
              <w:t>**</w:t>
            </w:r>
          </w:p>
        </w:tc>
        <w:tc>
          <w:tcPr>
            <w:tcW w:w="1486" w:type="dxa"/>
            <w:tcBorders>
              <w:top w:val="single" w:sz="4" w:space="0" w:color="000000"/>
              <w:left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sz w:val="21"/>
                <w:szCs w:val="21"/>
              </w:rPr>
            </w:pPr>
            <w:r>
              <w:rPr>
                <w:rFonts w:eastAsia="方正楷体_GBK" w:cs="方正楷体_GBK" w:hint="eastAsia"/>
                <w:kern w:val="0"/>
                <w:sz w:val="21"/>
                <w:szCs w:val="21"/>
              </w:rPr>
              <w:t>100</w:t>
            </w:r>
            <w:r>
              <w:rPr>
                <w:rFonts w:ascii="方正楷体_GBK" w:eastAsia="方正楷体_GBK" w:hAnsi="方正楷体_GBK" w:cs="方正楷体_GBK" w:hint="eastAsia"/>
                <w:kern w:val="0"/>
                <w:sz w:val="21"/>
                <w:szCs w:val="21"/>
              </w:rPr>
              <w:t>.</w:t>
            </w:r>
            <w:r>
              <w:rPr>
                <w:rFonts w:eastAsia="方正楷体_GBK" w:cs="方正楷体_GBK" w:hint="eastAsia"/>
                <w:kern w:val="0"/>
                <w:sz w:val="21"/>
                <w:szCs w:val="21"/>
              </w:rPr>
              <w:t>00</w:t>
            </w:r>
            <w:r>
              <w:rPr>
                <w:rFonts w:ascii="方正楷体_GBK" w:eastAsia="方正楷体_GBK" w:hAnsi="方正楷体_GBK" w:cs="方正楷体_GBK" w:hint="eastAsia"/>
                <w:kern w:val="0"/>
                <w:sz w:val="21"/>
                <w:szCs w:val="21"/>
              </w:rPr>
              <w:t>%</w:t>
            </w:r>
          </w:p>
        </w:tc>
      </w:tr>
      <w:tr w:rsidR="00122B6D">
        <w:trPr>
          <w:trHeight w:val="834"/>
          <w:jc w:val="center"/>
        </w:trPr>
        <w:tc>
          <w:tcPr>
            <w:tcW w:w="1025" w:type="dxa"/>
            <w:vMerge/>
            <w:tcBorders>
              <w:top w:val="single" w:sz="4" w:space="0" w:color="000000"/>
              <w:left w:val="single" w:sz="4" w:space="0" w:color="000000"/>
              <w:bottom w:val="single" w:sz="4" w:space="0" w:color="000000"/>
              <w:right w:val="single" w:sz="4" w:space="0" w:color="000000"/>
            </w:tcBorders>
            <w:noWrap/>
            <w:vAlign w:val="center"/>
          </w:tcPr>
          <w:p w:rsidR="00122B6D" w:rsidRDefault="00122B6D">
            <w:pPr>
              <w:widowControl w:val="0"/>
              <w:adjustRightInd w:val="0"/>
              <w:snapToGrid w:val="0"/>
              <w:spacing w:line="240" w:lineRule="auto"/>
              <w:jc w:val="center"/>
              <w:rPr>
                <w:rFonts w:ascii="方正楷体_GBK" w:eastAsia="方正楷体_GBK" w:hAnsi="方正楷体_GBK" w:cs="方正楷体_GBK"/>
                <w:sz w:val="21"/>
                <w:szCs w:val="21"/>
              </w:rPr>
            </w:pPr>
          </w:p>
        </w:tc>
        <w:tc>
          <w:tcPr>
            <w:tcW w:w="350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小计</w:t>
            </w:r>
          </w:p>
        </w:tc>
        <w:tc>
          <w:tcPr>
            <w:tcW w:w="1343" w:type="dxa"/>
            <w:tcBorders>
              <w:top w:val="single" w:sz="4" w:space="0" w:color="auto"/>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hint="eastAsia"/>
                <w:kern w:val="0"/>
              </w:rPr>
              <w:t>**</w:t>
            </w:r>
          </w:p>
        </w:tc>
        <w:tc>
          <w:tcPr>
            <w:tcW w:w="1518" w:type="dxa"/>
            <w:tcBorders>
              <w:top w:val="single" w:sz="4" w:space="0" w:color="auto"/>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hint="eastAsia"/>
                <w:kern w:val="0"/>
              </w:rPr>
              <w:t>**</w:t>
            </w:r>
          </w:p>
        </w:tc>
        <w:tc>
          <w:tcPr>
            <w:tcW w:w="1486" w:type="dxa"/>
            <w:tcBorders>
              <w:top w:val="single" w:sz="4" w:space="0" w:color="auto"/>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eastAsia="方正楷体_GBK" w:cs="方正楷体_GBK" w:hint="eastAsia"/>
                <w:b/>
                <w:bCs/>
                <w:sz w:val="21"/>
                <w:szCs w:val="21"/>
              </w:rPr>
              <w:t>100</w:t>
            </w:r>
            <w:r>
              <w:rPr>
                <w:rFonts w:ascii="方正楷体_GBK" w:eastAsia="方正楷体_GBK" w:hAnsi="方正楷体_GBK" w:cs="方正楷体_GBK" w:hint="eastAsia"/>
                <w:b/>
                <w:bCs/>
                <w:sz w:val="21"/>
                <w:szCs w:val="21"/>
              </w:rPr>
              <w:t>.</w:t>
            </w:r>
            <w:r>
              <w:rPr>
                <w:rFonts w:eastAsia="方正楷体_GBK" w:cs="方正楷体_GBK" w:hint="eastAsia"/>
                <w:b/>
                <w:bCs/>
                <w:sz w:val="21"/>
                <w:szCs w:val="21"/>
              </w:rPr>
              <w:t>00</w:t>
            </w:r>
            <w:r>
              <w:rPr>
                <w:rFonts w:ascii="方正楷体_GBK" w:eastAsia="方正楷体_GBK" w:hAnsi="方正楷体_GBK" w:cs="方正楷体_GBK" w:hint="eastAsia"/>
                <w:b/>
                <w:bCs/>
                <w:sz w:val="21"/>
                <w:szCs w:val="21"/>
              </w:rPr>
              <w:t>%</w:t>
            </w:r>
          </w:p>
        </w:tc>
      </w:tr>
      <w:tr w:rsidR="00122B6D">
        <w:trPr>
          <w:trHeight w:val="23"/>
          <w:jc w:val="center"/>
        </w:trPr>
        <w:tc>
          <w:tcPr>
            <w:tcW w:w="1025"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w:t>
            </w:r>
          </w:p>
        </w:tc>
        <w:tc>
          <w:tcPr>
            <w:tcW w:w="350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合计</w:t>
            </w:r>
          </w:p>
        </w:tc>
        <w:tc>
          <w:tcPr>
            <w:tcW w:w="1343"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hint="eastAsia"/>
                <w:kern w:val="0"/>
              </w:rPr>
              <w:t>**</w:t>
            </w:r>
          </w:p>
        </w:tc>
        <w:tc>
          <w:tcPr>
            <w:tcW w:w="1518"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hint="eastAsia"/>
                <w:kern w:val="0"/>
              </w:rPr>
              <w:t>**</w:t>
            </w:r>
          </w:p>
        </w:tc>
        <w:tc>
          <w:tcPr>
            <w:tcW w:w="1486" w:type="dxa"/>
            <w:tcBorders>
              <w:top w:val="single" w:sz="4" w:space="0" w:color="000000"/>
              <w:left w:val="single" w:sz="4" w:space="0" w:color="000000"/>
              <w:bottom w:val="single" w:sz="4" w:space="0" w:color="000000"/>
              <w:right w:val="single" w:sz="4" w:space="0" w:color="000000"/>
            </w:tcBorders>
            <w:noWrap/>
            <w:vAlign w:val="center"/>
          </w:tcPr>
          <w:p w:rsidR="00122B6D" w:rsidRDefault="00F01EEF">
            <w:pPr>
              <w:widowControl w:val="0"/>
              <w:adjustRightInd w:val="0"/>
              <w:snapToGrid w:val="0"/>
              <w:spacing w:line="240" w:lineRule="auto"/>
              <w:jc w:val="center"/>
              <w:textAlignment w:val="center"/>
              <w:rPr>
                <w:rFonts w:ascii="方正楷体_GBK" w:eastAsia="方正楷体_GBK" w:hAnsi="方正楷体_GBK" w:cs="方正楷体_GBK"/>
                <w:b/>
                <w:bCs/>
                <w:sz w:val="21"/>
                <w:szCs w:val="21"/>
              </w:rPr>
            </w:pPr>
            <w:r>
              <w:rPr>
                <w:rFonts w:eastAsia="方正楷体_GBK" w:cs="方正楷体_GBK" w:hint="eastAsia"/>
                <w:b/>
                <w:bCs/>
                <w:kern w:val="0"/>
                <w:sz w:val="21"/>
                <w:szCs w:val="21"/>
              </w:rPr>
              <w:t>93.39</w:t>
            </w:r>
            <w:r>
              <w:rPr>
                <w:rFonts w:ascii="方正楷体_GBK" w:eastAsia="方正楷体_GBK" w:hAnsi="方正楷体_GBK" w:cs="方正楷体_GBK" w:hint="eastAsia"/>
                <w:b/>
                <w:bCs/>
                <w:kern w:val="0"/>
                <w:sz w:val="21"/>
                <w:szCs w:val="21"/>
              </w:rPr>
              <w:t>%</w:t>
            </w:r>
          </w:p>
        </w:tc>
      </w:tr>
    </w:tbl>
    <w:p w:rsidR="00122B6D" w:rsidRDefault="00F01EEF">
      <w:pPr>
        <w:widowControl w:val="0"/>
        <w:adjustRightInd w:val="0"/>
        <w:snapToGrid w:val="0"/>
        <w:ind w:firstLineChars="200" w:firstLine="640"/>
        <w:jc w:val="left"/>
        <w:outlineLvl w:val="1"/>
        <w:rPr>
          <w:rFonts w:eastAsia="方正楷体_GBK"/>
          <w:kern w:val="0"/>
        </w:rPr>
      </w:pPr>
      <w:bookmarkStart w:id="6" w:name="_Toc13191"/>
      <w:r>
        <w:rPr>
          <w:rFonts w:eastAsia="方正楷体_GBK"/>
          <w:kern w:val="0"/>
        </w:rPr>
        <w:t>（三）绩效目标</w:t>
      </w:r>
      <w:bookmarkEnd w:id="6"/>
    </w:p>
    <w:p w:rsidR="00122B6D" w:rsidRDefault="00F01EEF" w:rsidP="00AA0E04">
      <w:pPr>
        <w:widowControl w:val="0"/>
        <w:adjustRightInd w:val="0"/>
        <w:snapToGrid w:val="0"/>
        <w:ind w:firstLineChars="200" w:firstLine="643"/>
        <w:jc w:val="left"/>
        <w:outlineLvl w:val="2"/>
        <w:rPr>
          <w:b/>
          <w:bCs/>
          <w:kern w:val="0"/>
        </w:rPr>
      </w:pPr>
      <w:r>
        <w:rPr>
          <w:b/>
          <w:bCs/>
          <w:kern w:val="0"/>
        </w:rPr>
        <w:t>1.</w:t>
      </w:r>
      <w:r>
        <w:rPr>
          <w:b/>
          <w:bCs/>
          <w:kern w:val="0"/>
        </w:rPr>
        <w:t>项目总目标</w:t>
      </w:r>
    </w:p>
    <w:p w:rsidR="00122B6D" w:rsidRDefault="00F01EEF">
      <w:pPr>
        <w:widowControl w:val="0"/>
        <w:adjustRightInd w:val="0"/>
        <w:snapToGrid w:val="0"/>
        <w:ind w:firstLineChars="200" w:firstLine="640"/>
        <w:rPr>
          <w:kern w:val="0"/>
        </w:rPr>
      </w:pPr>
      <w:r>
        <w:rPr>
          <w:kern w:val="0"/>
        </w:rPr>
        <w:t>一是有效调节市场供求。按照国家和省宏观调控要求，结合我市粮食市场供求实际，适时通过地方储备粮轮换调节市场供应量，保障市场供应。</w:t>
      </w:r>
    </w:p>
    <w:p w:rsidR="00122B6D" w:rsidRDefault="00F01EEF">
      <w:pPr>
        <w:widowControl w:val="0"/>
        <w:adjustRightInd w:val="0"/>
        <w:snapToGrid w:val="0"/>
        <w:ind w:firstLineChars="200" w:firstLine="640"/>
        <w:rPr>
          <w:kern w:val="0"/>
        </w:rPr>
      </w:pPr>
      <w:r>
        <w:rPr>
          <w:kern w:val="0"/>
        </w:rPr>
        <w:t>二是稳定粮食市场价格。加强粮食市场价格监测，根据市场粮价波动情况，科学有序实施储备轮换。</w:t>
      </w:r>
    </w:p>
    <w:p w:rsidR="00122B6D" w:rsidRDefault="00F01EEF">
      <w:pPr>
        <w:widowControl w:val="0"/>
        <w:adjustRightInd w:val="0"/>
        <w:snapToGrid w:val="0"/>
        <w:ind w:firstLineChars="200" w:firstLine="640"/>
        <w:rPr>
          <w:kern w:val="0"/>
        </w:rPr>
      </w:pPr>
      <w:r>
        <w:rPr>
          <w:kern w:val="0"/>
        </w:rPr>
        <w:lastRenderedPageBreak/>
        <w:t>三是维护种粮农民利益。严格执行国家粮食收购政策，全面开展市场化收购，促进种粮农民增收。</w:t>
      </w:r>
    </w:p>
    <w:p w:rsidR="00122B6D" w:rsidRDefault="00F01EEF">
      <w:pPr>
        <w:widowControl w:val="0"/>
        <w:adjustRightInd w:val="0"/>
        <w:snapToGrid w:val="0"/>
        <w:ind w:firstLineChars="200" w:firstLine="640"/>
        <w:rPr>
          <w:kern w:val="0"/>
        </w:rPr>
      </w:pPr>
      <w:r>
        <w:rPr>
          <w:kern w:val="0"/>
        </w:rPr>
        <w:t>四是保障粮食供应安全。加强储备管理和库存检查，确保储备粮数量真实、质量良好、储存安全，在应对突发状况时及时响应，有效发挥应急保供作用。</w:t>
      </w:r>
    </w:p>
    <w:p w:rsidR="00122B6D" w:rsidRDefault="00F01EEF">
      <w:pPr>
        <w:widowControl w:val="0"/>
        <w:adjustRightInd w:val="0"/>
        <w:snapToGrid w:val="0"/>
        <w:ind w:firstLineChars="200" w:firstLine="640"/>
        <w:rPr>
          <w:kern w:val="0"/>
        </w:rPr>
      </w:pPr>
      <w:r>
        <w:rPr>
          <w:kern w:val="0"/>
        </w:rPr>
        <w:t>五是行业示范带动作用。积极推进地方储备粮管理法制建设，规范承储企业管理和运作，提高管理和经营水平。</w:t>
      </w:r>
    </w:p>
    <w:p w:rsidR="00122B6D" w:rsidRDefault="00F01EEF">
      <w:pPr>
        <w:widowControl w:val="0"/>
        <w:adjustRightInd w:val="0"/>
        <w:snapToGrid w:val="0"/>
        <w:ind w:firstLineChars="200" w:firstLine="640"/>
        <w:rPr>
          <w:kern w:val="0"/>
        </w:rPr>
      </w:pPr>
      <w:r>
        <w:rPr>
          <w:kern w:val="0"/>
        </w:rPr>
        <w:t>六是通过扶持地方粮食企业仓储设施</w:t>
      </w:r>
      <w:r>
        <w:rPr>
          <w:rFonts w:hint="eastAsia"/>
          <w:kern w:val="0"/>
        </w:rPr>
        <w:t>升级改造、绿色仓储能力提升及品牌</w:t>
      </w:r>
      <w:r>
        <w:rPr>
          <w:kern w:val="0"/>
        </w:rPr>
        <w:t>建设，全面</w:t>
      </w:r>
      <w:r>
        <w:rPr>
          <w:rFonts w:hint="eastAsia"/>
          <w:kern w:val="0"/>
        </w:rPr>
        <w:t>提升</w:t>
      </w:r>
      <w:r>
        <w:rPr>
          <w:kern w:val="0"/>
        </w:rPr>
        <w:t>我市粮食流通产业发展。</w:t>
      </w:r>
    </w:p>
    <w:p w:rsidR="00122B6D" w:rsidRDefault="00F01EEF" w:rsidP="00AA0E04">
      <w:pPr>
        <w:widowControl w:val="0"/>
        <w:adjustRightInd w:val="0"/>
        <w:snapToGrid w:val="0"/>
        <w:ind w:firstLineChars="200" w:firstLine="643"/>
        <w:rPr>
          <w:b/>
          <w:bCs/>
          <w:kern w:val="0"/>
        </w:rPr>
      </w:pPr>
      <w:r>
        <w:rPr>
          <w:b/>
          <w:bCs/>
          <w:kern w:val="0"/>
        </w:rPr>
        <w:t>2.</w:t>
      </w:r>
      <w:r>
        <w:rPr>
          <w:b/>
          <w:bCs/>
          <w:kern w:val="0"/>
        </w:rPr>
        <w:t>年度目标</w:t>
      </w:r>
    </w:p>
    <w:p w:rsidR="00122B6D" w:rsidRDefault="00F01EEF">
      <w:pPr>
        <w:widowControl w:val="0"/>
        <w:adjustRightInd w:val="0"/>
        <w:snapToGrid w:val="0"/>
        <w:ind w:firstLineChars="200" w:firstLine="640"/>
        <w:rPr>
          <w:kern w:val="0"/>
        </w:rPr>
      </w:pPr>
      <w:r>
        <w:rPr>
          <w:kern w:val="0"/>
        </w:rPr>
        <w:t>一是严格执行国家粮食收购政策，确保不出现</w:t>
      </w:r>
      <w:r>
        <w:rPr>
          <w:kern w:val="0"/>
        </w:rPr>
        <w:t>“</w:t>
      </w:r>
      <w:r>
        <w:rPr>
          <w:kern w:val="0"/>
        </w:rPr>
        <w:t>卖难粮</w:t>
      </w:r>
      <w:r>
        <w:rPr>
          <w:kern w:val="0"/>
        </w:rPr>
        <w:t>”</w:t>
      </w:r>
      <w:r>
        <w:rPr>
          <w:kern w:val="0"/>
        </w:rPr>
        <w:t>；</w:t>
      </w:r>
    </w:p>
    <w:p w:rsidR="00122B6D" w:rsidRDefault="00F01EEF">
      <w:pPr>
        <w:widowControl w:val="0"/>
        <w:adjustRightInd w:val="0"/>
        <w:snapToGrid w:val="0"/>
        <w:ind w:firstLineChars="200" w:firstLine="640"/>
        <w:rPr>
          <w:kern w:val="0"/>
        </w:rPr>
      </w:pPr>
      <w:r>
        <w:rPr>
          <w:kern w:val="0"/>
        </w:rPr>
        <w:t>二是加强地方储备粮</w:t>
      </w:r>
      <w:r>
        <w:rPr>
          <w:kern w:val="0"/>
        </w:rPr>
        <w:t>油轮换管理，确保数量真实、质量良好、储存安全；</w:t>
      </w:r>
    </w:p>
    <w:p w:rsidR="00122B6D" w:rsidRDefault="00F01EEF">
      <w:pPr>
        <w:widowControl w:val="0"/>
        <w:adjustRightInd w:val="0"/>
        <w:snapToGrid w:val="0"/>
        <w:ind w:firstLineChars="200" w:firstLine="640"/>
        <w:rPr>
          <w:kern w:val="0"/>
        </w:rPr>
      </w:pPr>
      <w:r>
        <w:rPr>
          <w:kern w:val="0"/>
        </w:rPr>
        <w:t>三是落实宁淮粮食合作协议，应急情况下确保供应南京市场</w:t>
      </w:r>
    </w:p>
    <w:p w:rsidR="00122B6D" w:rsidRDefault="00F01EEF">
      <w:pPr>
        <w:widowControl w:val="0"/>
        <w:adjustRightInd w:val="0"/>
        <w:snapToGrid w:val="0"/>
        <w:jc w:val="left"/>
        <w:rPr>
          <w:kern w:val="0"/>
        </w:rPr>
      </w:pPr>
      <w:r>
        <w:rPr>
          <w:rFonts w:hint="eastAsia"/>
          <w:kern w:val="0"/>
        </w:rPr>
        <w:t>半个月成品粮消费量。</w:t>
      </w:r>
    </w:p>
    <w:p w:rsidR="00122B6D" w:rsidRDefault="00F01EEF">
      <w:pPr>
        <w:widowControl w:val="0"/>
        <w:adjustRightInd w:val="0"/>
        <w:snapToGrid w:val="0"/>
        <w:ind w:firstLineChars="200" w:firstLine="640"/>
        <w:rPr>
          <w:kern w:val="0"/>
        </w:rPr>
      </w:pPr>
      <w:r>
        <w:rPr>
          <w:rFonts w:hint="eastAsia"/>
          <w:kern w:val="0"/>
        </w:rPr>
        <w:t>四是开展南京市六合</w:t>
      </w:r>
      <w:r>
        <w:rPr>
          <w:rFonts w:hint="eastAsia"/>
          <w:kern w:val="0"/>
        </w:rPr>
        <w:t>**</w:t>
      </w:r>
      <w:r>
        <w:rPr>
          <w:rFonts w:hint="eastAsia"/>
          <w:kern w:val="0"/>
        </w:rPr>
        <w:t>公司原粮平房仓</w:t>
      </w:r>
      <w:r>
        <w:rPr>
          <w:rFonts w:hint="eastAsia"/>
          <w:kern w:val="0"/>
        </w:rPr>
        <w:t>(</w:t>
      </w:r>
      <w:r>
        <w:rPr>
          <w:rFonts w:hint="eastAsia"/>
          <w:kern w:val="0"/>
        </w:rPr>
        <w:t>免熏蒸</w:t>
      </w:r>
      <w:r>
        <w:rPr>
          <w:rFonts w:hint="eastAsia"/>
          <w:kern w:val="0"/>
        </w:rPr>
        <w:t xml:space="preserve">) </w:t>
      </w:r>
      <w:r>
        <w:rPr>
          <w:rFonts w:hint="eastAsia"/>
          <w:kern w:val="0"/>
        </w:rPr>
        <w:t>低温改造项目、溧水</w:t>
      </w:r>
      <w:r>
        <w:rPr>
          <w:rFonts w:hint="eastAsia"/>
          <w:kern w:val="0"/>
        </w:rPr>
        <w:t>**</w:t>
      </w:r>
      <w:r>
        <w:rPr>
          <w:rFonts w:hint="eastAsia"/>
          <w:kern w:val="0"/>
        </w:rPr>
        <w:t>公司粮库基础设施升级改造和绿色仓储能力提升项目、高淳</w:t>
      </w:r>
      <w:r>
        <w:rPr>
          <w:rFonts w:hint="eastAsia"/>
          <w:kern w:val="0"/>
        </w:rPr>
        <w:t>**</w:t>
      </w:r>
      <w:r>
        <w:rPr>
          <w:rFonts w:hint="eastAsia"/>
          <w:kern w:val="0"/>
        </w:rPr>
        <w:t>公司</w:t>
      </w:r>
      <w:r>
        <w:rPr>
          <w:rFonts w:hint="eastAsia"/>
          <w:kern w:val="0"/>
        </w:rPr>
        <w:t>**</w:t>
      </w:r>
      <w:r>
        <w:rPr>
          <w:rFonts w:hint="eastAsia"/>
          <w:kern w:val="0"/>
        </w:rPr>
        <w:t>粮库升级改造项目，不断提高我市粮食仓储设施整体水平。</w:t>
      </w:r>
    </w:p>
    <w:p w:rsidR="00122B6D" w:rsidRDefault="00F01EEF">
      <w:pPr>
        <w:widowControl w:val="0"/>
        <w:adjustRightInd w:val="0"/>
        <w:snapToGrid w:val="0"/>
        <w:ind w:firstLineChars="200" w:firstLine="640"/>
        <w:jc w:val="left"/>
        <w:outlineLvl w:val="1"/>
        <w:rPr>
          <w:rFonts w:eastAsia="方正楷体_GBK"/>
          <w:kern w:val="0"/>
        </w:rPr>
      </w:pPr>
      <w:bookmarkStart w:id="7" w:name="_Toc21560"/>
      <w:r>
        <w:rPr>
          <w:rFonts w:eastAsia="方正楷体_GBK"/>
          <w:kern w:val="0"/>
        </w:rPr>
        <w:t>（四）项目实施情况</w:t>
      </w:r>
      <w:bookmarkEnd w:id="7"/>
    </w:p>
    <w:p w:rsidR="00122B6D" w:rsidRDefault="00F01EEF" w:rsidP="00AA0E04">
      <w:pPr>
        <w:widowControl w:val="0"/>
        <w:adjustRightInd w:val="0"/>
        <w:snapToGrid w:val="0"/>
        <w:ind w:firstLineChars="200" w:firstLine="643"/>
        <w:jc w:val="left"/>
        <w:outlineLvl w:val="2"/>
        <w:rPr>
          <w:b/>
          <w:bCs/>
          <w:kern w:val="0"/>
        </w:rPr>
      </w:pPr>
      <w:r>
        <w:rPr>
          <w:b/>
          <w:bCs/>
          <w:kern w:val="0"/>
        </w:rPr>
        <w:t>1.</w:t>
      </w:r>
      <w:r>
        <w:rPr>
          <w:b/>
          <w:bCs/>
          <w:kern w:val="0"/>
        </w:rPr>
        <w:t>项目组织实施</w:t>
      </w:r>
    </w:p>
    <w:p w:rsidR="00122B6D" w:rsidRDefault="00F01EEF">
      <w:pPr>
        <w:widowControl w:val="0"/>
        <w:adjustRightInd w:val="0"/>
        <w:snapToGrid w:val="0"/>
        <w:ind w:firstLineChars="200" w:firstLine="640"/>
        <w:rPr>
          <w:kern w:val="0"/>
        </w:rPr>
      </w:pPr>
      <w:r>
        <w:rPr>
          <w:kern w:val="0"/>
        </w:rPr>
        <w:t>（</w:t>
      </w:r>
      <w:r>
        <w:rPr>
          <w:kern w:val="0"/>
        </w:rPr>
        <w:t>1</w:t>
      </w:r>
      <w:r>
        <w:rPr>
          <w:kern w:val="0"/>
        </w:rPr>
        <w:t>）南京市发展和改革委员会（南京市粮食和物资储备局）</w:t>
      </w:r>
    </w:p>
    <w:p w:rsidR="00122B6D" w:rsidRDefault="00F01EEF">
      <w:pPr>
        <w:widowControl w:val="0"/>
        <w:adjustRightInd w:val="0"/>
        <w:snapToGrid w:val="0"/>
        <w:ind w:firstLineChars="200" w:firstLine="640"/>
        <w:rPr>
          <w:kern w:val="0"/>
        </w:rPr>
      </w:pPr>
      <w:r>
        <w:rPr>
          <w:kern w:val="0"/>
        </w:rPr>
        <w:lastRenderedPageBreak/>
        <w:t>负责组织实施全市粮食流通储备的法律法规和规章，研究提出全市储备发展规划，组织实施全市储备粮的收储、轮换和日常管理，落实有关动用计划和指令。负责粮食流通、加工行业承储单位的安全生产监督管理。负责储备政策落实及粮食流通监督检查，负责粮食收购、储存、运输环节粮食质量安全和原粮卫生的监督管理。负责本项目的组织管理，制定粮食财政专项长期规划、</w:t>
      </w:r>
      <w:r>
        <w:rPr>
          <w:rFonts w:hint="eastAsia"/>
          <w:kern w:val="0"/>
        </w:rPr>
        <w:t>设置项目</w:t>
      </w:r>
      <w:r>
        <w:rPr>
          <w:kern w:val="0"/>
        </w:rPr>
        <w:t>绩效目标、编制</w:t>
      </w:r>
      <w:r>
        <w:rPr>
          <w:rFonts w:hint="eastAsia"/>
          <w:kern w:val="0"/>
        </w:rPr>
        <w:t>项目</w:t>
      </w:r>
      <w:r>
        <w:rPr>
          <w:kern w:val="0"/>
        </w:rPr>
        <w:t>年度预算、制定项目管理制度，对项目实施进行监管。</w:t>
      </w:r>
    </w:p>
    <w:p w:rsidR="00122B6D" w:rsidRDefault="00F01EEF">
      <w:pPr>
        <w:widowControl w:val="0"/>
        <w:adjustRightInd w:val="0"/>
        <w:snapToGrid w:val="0"/>
        <w:ind w:firstLineChars="200" w:firstLine="640"/>
        <w:rPr>
          <w:kern w:val="0"/>
        </w:rPr>
      </w:pPr>
      <w:r>
        <w:rPr>
          <w:kern w:val="0"/>
        </w:rPr>
        <w:t>（</w:t>
      </w:r>
      <w:r>
        <w:rPr>
          <w:kern w:val="0"/>
        </w:rPr>
        <w:t>2</w:t>
      </w:r>
      <w:r>
        <w:rPr>
          <w:kern w:val="0"/>
        </w:rPr>
        <w:t>）南京市财政局</w:t>
      </w:r>
    </w:p>
    <w:p w:rsidR="00122B6D" w:rsidRDefault="00F01EEF">
      <w:pPr>
        <w:widowControl w:val="0"/>
        <w:adjustRightInd w:val="0"/>
        <w:snapToGrid w:val="0"/>
        <w:ind w:firstLineChars="200" w:firstLine="640"/>
        <w:rPr>
          <w:kern w:val="0"/>
        </w:rPr>
      </w:pPr>
      <w:r>
        <w:rPr>
          <w:kern w:val="0"/>
        </w:rPr>
        <w:t>负责根据下达的承储规模及市级储备粮财政补贴标准，安排储备粮财政补贴，根据市发改委审</w:t>
      </w:r>
      <w:r>
        <w:rPr>
          <w:kern w:val="0"/>
        </w:rPr>
        <w:t>核认定的承储企业轮换任务完成情况，审核拨付补贴资金。会同相关部门对市级储备粮有关财务执行情况实施监督检查。配合市发改委做好特殊情况下的轮换，异品种和异库点轮换，不可抗力造成的轮换损失核实等工作。</w:t>
      </w:r>
    </w:p>
    <w:p w:rsidR="00122B6D" w:rsidRDefault="00F01EEF">
      <w:pPr>
        <w:widowControl w:val="0"/>
        <w:adjustRightInd w:val="0"/>
        <w:snapToGrid w:val="0"/>
        <w:ind w:firstLineChars="200" w:firstLine="640"/>
        <w:rPr>
          <w:kern w:val="0"/>
        </w:rPr>
      </w:pPr>
      <w:r>
        <w:rPr>
          <w:kern w:val="0"/>
        </w:rPr>
        <w:t>（</w:t>
      </w:r>
      <w:r>
        <w:rPr>
          <w:rFonts w:hint="eastAsia"/>
          <w:kern w:val="0"/>
        </w:rPr>
        <w:t>3</w:t>
      </w:r>
      <w:r>
        <w:rPr>
          <w:kern w:val="0"/>
        </w:rPr>
        <w:t>）区粮食行政管理部门</w:t>
      </w:r>
    </w:p>
    <w:p w:rsidR="00122B6D" w:rsidRDefault="00F01EEF">
      <w:pPr>
        <w:widowControl w:val="0"/>
        <w:adjustRightInd w:val="0"/>
        <w:snapToGrid w:val="0"/>
        <w:ind w:firstLineChars="200" w:firstLine="640"/>
        <w:rPr>
          <w:kern w:val="0"/>
        </w:rPr>
      </w:pPr>
      <w:r>
        <w:rPr>
          <w:kern w:val="0"/>
        </w:rPr>
        <w:t>对市级储备粮的轮换给予支持和协助，指导和督促辖区内市、区级储备粮承储企业按相关规定完成保管及轮换业务。</w:t>
      </w:r>
    </w:p>
    <w:p w:rsidR="00122B6D" w:rsidRDefault="00F01EEF">
      <w:pPr>
        <w:widowControl w:val="0"/>
        <w:adjustRightInd w:val="0"/>
        <w:snapToGrid w:val="0"/>
        <w:ind w:firstLineChars="200" w:firstLine="640"/>
        <w:rPr>
          <w:kern w:val="0"/>
        </w:rPr>
      </w:pPr>
      <w:r>
        <w:rPr>
          <w:kern w:val="0"/>
        </w:rPr>
        <w:t>（</w:t>
      </w:r>
      <w:r>
        <w:rPr>
          <w:rFonts w:hint="eastAsia"/>
          <w:kern w:val="0"/>
        </w:rPr>
        <w:t>4</w:t>
      </w:r>
      <w:r>
        <w:rPr>
          <w:kern w:val="0"/>
        </w:rPr>
        <w:t>）承储企业</w:t>
      </w:r>
    </w:p>
    <w:p w:rsidR="00122B6D" w:rsidRDefault="00F01EEF">
      <w:pPr>
        <w:widowControl w:val="0"/>
        <w:adjustRightInd w:val="0"/>
        <w:snapToGrid w:val="0"/>
        <w:ind w:firstLineChars="200" w:firstLine="640"/>
        <w:rPr>
          <w:kern w:val="0"/>
        </w:rPr>
      </w:pPr>
      <w:r>
        <w:rPr>
          <w:kern w:val="0"/>
        </w:rPr>
        <w:t>具体承担市、区级储备粮的经营管理，严格遵守国家、省、市有关粮食法律政策规定，对储备粮进行保管，规范轮换运作，及时完成轮换任务，对市、区级储备粮轮换品种、数量、质量和储存安</w:t>
      </w:r>
      <w:r>
        <w:rPr>
          <w:kern w:val="0"/>
        </w:rPr>
        <w:t>全等负全责。</w:t>
      </w:r>
    </w:p>
    <w:p w:rsidR="00122B6D" w:rsidRDefault="00F01EEF">
      <w:pPr>
        <w:widowControl w:val="0"/>
        <w:adjustRightInd w:val="0"/>
        <w:snapToGrid w:val="0"/>
        <w:ind w:firstLineChars="200" w:firstLine="640"/>
        <w:rPr>
          <w:kern w:val="0"/>
        </w:rPr>
      </w:pPr>
      <w:r>
        <w:rPr>
          <w:kern w:val="0"/>
        </w:rPr>
        <w:lastRenderedPageBreak/>
        <w:t>（</w:t>
      </w:r>
      <w:r>
        <w:rPr>
          <w:rFonts w:hint="eastAsia"/>
          <w:kern w:val="0"/>
        </w:rPr>
        <w:t>5</w:t>
      </w:r>
      <w:r>
        <w:rPr>
          <w:kern w:val="0"/>
        </w:rPr>
        <w:t>）南京市储备粮油管理有限公司</w:t>
      </w:r>
    </w:p>
    <w:p w:rsidR="00122B6D" w:rsidRDefault="00F01EEF">
      <w:pPr>
        <w:widowControl w:val="0"/>
        <w:adjustRightInd w:val="0"/>
        <w:snapToGrid w:val="0"/>
        <w:ind w:firstLineChars="200" w:firstLine="640"/>
        <w:rPr>
          <w:kern w:val="0"/>
        </w:rPr>
      </w:pPr>
      <w:r>
        <w:rPr>
          <w:kern w:val="0"/>
        </w:rPr>
        <w:t>受市发改委委托，根据合同约定，协助开展市级储备原粮、成品粮日常管理，</w:t>
      </w:r>
      <w:r>
        <w:rPr>
          <w:rFonts w:hint="eastAsia"/>
          <w:kern w:val="0"/>
        </w:rPr>
        <w:t>对市级储备粮油信息进行收集与核实等</w:t>
      </w:r>
      <w:r>
        <w:rPr>
          <w:kern w:val="0"/>
        </w:rPr>
        <w:t>。</w:t>
      </w:r>
    </w:p>
    <w:p w:rsidR="00122B6D" w:rsidRDefault="00F01EEF" w:rsidP="00AA0E04">
      <w:pPr>
        <w:widowControl w:val="0"/>
        <w:adjustRightInd w:val="0"/>
        <w:snapToGrid w:val="0"/>
        <w:ind w:firstLineChars="200" w:firstLine="643"/>
        <w:jc w:val="left"/>
        <w:outlineLvl w:val="2"/>
        <w:rPr>
          <w:b/>
          <w:bCs/>
          <w:kern w:val="0"/>
        </w:rPr>
      </w:pPr>
      <w:r>
        <w:rPr>
          <w:b/>
          <w:bCs/>
          <w:kern w:val="0"/>
        </w:rPr>
        <w:t>2.</w:t>
      </w:r>
      <w:r>
        <w:rPr>
          <w:b/>
          <w:bCs/>
          <w:kern w:val="0"/>
        </w:rPr>
        <w:t>项目完成情况</w:t>
      </w:r>
    </w:p>
    <w:p w:rsidR="00122B6D" w:rsidRDefault="00F01EEF">
      <w:pPr>
        <w:pStyle w:val="a3"/>
        <w:widowControl w:val="0"/>
        <w:adjustRightInd w:val="0"/>
        <w:snapToGrid w:val="0"/>
        <w:spacing w:after="0"/>
        <w:ind w:firstLineChars="200" w:firstLine="640"/>
        <w:rPr>
          <w:rFonts w:eastAsia="方正仿宋_GBK"/>
          <w:kern w:val="0"/>
          <w:szCs w:val="32"/>
        </w:rPr>
      </w:pPr>
      <w:r>
        <w:rPr>
          <w:rFonts w:eastAsia="方正仿宋_GBK"/>
          <w:kern w:val="0"/>
          <w:szCs w:val="32"/>
        </w:rPr>
        <w:t>（</w:t>
      </w:r>
      <w:r>
        <w:rPr>
          <w:rFonts w:eastAsia="方正仿宋_GBK"/>
          <w:kern w:val="0"/>
          <w:szCs w:val="32"/>
        </w:rPr>
        <w:t>1</w:t>
      </w:r>
      <w:r>
        <w:rPr>
          <w:rFonts w:eastAsia="方正仿宋_GBK"/>
          <w:kern w:val="0"/>
          <w:szCs w:val="32"/>
        </w:rPr>
        <w:t>）储备粮、成品粮油储备计划完成</w:t>
      </w:r>
      <w:r>
        <w:rPr>
          <w:rFonts w:eastAsia="方正仿宋_GBK" w:hint="eastAsia"/>
          <w:kern w:val="0"/>
          <w:szCs w:val="32"/>
        </w:rPr>
        <w:t>及补贴发放情况</w:t>
      </w:r>
    </w:p>
    <w:p w:rsidR="00122B6D" w:rsidRDefault="00F01EEF">
      <w:pPr>
        <w:pStyle w:val="a3"/>
        <w:widowControl w:val="0"/>
        <w:adjustRightInd w:val="0"/>
        <w:snapToGrid w:val="0"/>
        <w:spacing w:after="0"/>
        <w:ind w:firstLineChars="200" w:firstLine="640"/>
        <w:rPr>
          <w:rFonts w:eastAsia="方正仿宋_GBK"/>
          <w:color w:val="FF0000"/>
          <w:kern w:val="0"/>
          <w:szCs w:val="32"/>
        </w:rPr>
      </w:pPr>
      <w:r>
        <w:rPr>
          <w:rFonts w:eastAsia="方正仿宋_GBK"/>
          <w:kern w:val="0"/>
          <w:szCs w:val="32"/>
        </w:rPr>
        <w:t>根据</w:t>
      </w:r>
      <w:r>
        <w:rPr>
          <w:rFonts w:eastAsia="方正仿宋_GBK" w:hint="eastAsia"/>
          <w:kern w:val="0"/>
          <w:szCs w:val="32"/>
        </w:rPr>
        <w:t>《关于下达</w:t>
      </w:r>
      <w:r>
        <w:rPr>
          <w:rFonts w:eastAsia="方正仿宋_GBK" w:hint="eastAsia"/>
          <w:kern w:val="0"/>
          <w:szCs w:val="32"/>
        </w:rPr>
        <w:t>2025</w:t>
      </w:r>
      <w:r>
        <w:rPr>
          <w:rFonts w:eastAsia="方正仿宋_GBK" w:hint="eastAsia"/>
          <w:kern w:val="0"/>
          <w:szCs w:val="32"/>
        </w:rPr>
        <w:t>年度南京市成品粮油储备计划的通知》（宁发改粮储字〔</w:t>
      </w:r>
      <w:r>
        <w:rPr>
          <w:rFonts w:eastAsia="方正仿宋_GBK" w:hint="eastAsia"/>
          <w:kern w:val="0"/>
          <w:szCs w:val="32"/>
        </w:rPr>
        <w:t>2024</w:t>
      </w:r>
      <w:r>
        <w:rPr>
          <w:rFonts w:eastAsia="方正仿宋_GBK" w:hint="eastAsia"/>
          <w:kern w:val="0"/>
          <w:szCs w:val="32"/>
        </w:rPr>
        <w:t>〕</w:t>
      </w:r>
      <w:r>
        <w:rPr>
          <w:rFonts w:eastAsia="方正仿宋_GBK" w:hint="eastAsia"/>
          <w:kern w:val="0"/>
          <w:szCs w:val="32"/>
        </w:rPr>
        <w:t>710</w:t>
      </w:r>
      <w:r>
        <w:rPr>
          <w:rFonts w:eastAsia="方正仿宋_GBK" w:hint="eastAsia"/>
          <w:kern w:val="0"/>
          <w:szCs w:val="32"/>
        </w:rPr>
        <w:t>号）、</w:t>
      </w:r>
      <w:r>
        <w:rPr>
          <w:rFonts w:eastAsia="方正仿宋_GBK" w:hint="eastAsia"/>
          <w:kern w:val="0"/>
          <w:szCs w:val="32"/>
        </w:rPr>
        <w:t>2025</w:t>
      </w:r>
      <w:r>
        <w:rPr>
          <w:rFonts w:eastAsia="方正仿宋_GBK" w:hint="eastAsia"/>
          <w:kern w:val="0"/>
          <w:szCs w:val="32"/>
        </w:rPr>
        <w:t>年</w:t>
      </w:r>
      <w:r>
        <w:rPr>
          <w:rFonts w:eastAsia="方正仿宋_GBK" w:hint="eastAsia"/>
          <w:kern w:val="0"/>
          <w:szCs w:val="32"/>
        </w:rPr>
        <w:t>4</w:t>
      </w:r>
      <w:r>
        <w:rPr>
          <w:rFonts w:eastAsia="方正仿宋_GBK" w:hint="eastAsia"/>
          <w:kern w:val="0"/>
          <w:szCs w:val="32"/>
        </w:rPr>
        <w:t>个季度《关于商情拨付</w:t>
      </w:r>
      <w:r>
        <w:rPr>
          <w:rFonts w:eastAsia="方正仿宋_GBK" w:hint="eastAsia"/>
          <w:kern w:val="0"/>
          <w:szCs w:val="32"/>
        </w:rPr>
        <w:t>2025</w:t>
      </w:r>
      <w:r>
        <w:rPr>
          <w:rFonts w:eastAsia="方正仿宋_GBK" w:hint="eastAsia"/>
          <w:kern w:val="0"/>
          <w:szCs w:val="32"/>
        </w:rPr>
        <w:t>年度市、区储备粮油市级财政补贴资金的函》，项目</w:t>
      </w:r>
      <w:r>
        <w:rPr>
          <w:rFonts w:eastAsia="方正仿宋_GBK" w:hint="eastAsia"/>
          <w:kern w:val="0"/>
          <w:szCs w:val="32"/>
        </w:rPr>
        <w:t>2025</w:t>
      </w:r>
      <w:r>
        <w:rPr>
          <w:rFonts w:eastAsia="方正仿宋_GBK" w:hint="eastAsia"/>
          <w:kern w:val="0"/>
          <w:szCs w:val="32"/>
        </w:rPr>
        <w:t>年保质保量地完成了市级储备粮承储计划</w:t>
      </w:r>
      <w:r>
        <w:rPr>
          <w:rFonts w:eastAsia="方正仿宋_GBK" w:hint="eastAsia"/>
          <w:kern w:val="0"/>
          <w:szCs w:val="32"/>
        </w:rPr>
        <w:t>**</w:t>
      </w:r>
      <w:r>
        <w:rPr>
          <w:rFonts w:eastAsia="方正仿宋_GBK" w:hint="eastAsia"/>
          <w:kern w:val="0"/>
          <w:szCs w:val="32"/>
        </w:rPr>
        <w:t>万吨和市成品粮油储备计划</w:t>
      </w:r>
      <w:r>
        <w:rPr>
          <w:rFonts w:eastAsia="方正仿宋_GBK" w:hint="eastAsia"/>
          <w:kern w:val="0"/>
          <w:szCs w:val="32"/>
        </w:rPr>
        <w:t>**</w:t>
      </w:r>
      <w:r>
        <w:rPr>
          <w:rFonts w:eastAsia="方正仿宋_GBK" w:hint="eastAsia"/>
          <w:kern w:val="0"/>
          <w:szCs w:val="32"/>
        </w:rPr>
        <w:t>万吨，共发放市级补贴资金</w:t>
      </w:r>
      <w:r>
        <w:rPr>
          <w:rFonts w:eastAsia="方正仿宋_GBK" w:hint="eastAsia"/>
          <w:kern w:val="0"/>
          <w:szCs w:val="32"/>
        </w:rPr>
        <w:t>**</w:t>
      </w:r>
      <w:r>
        <w:rPr>
          <w:rFonts w:eastAsia="方正仿宋_GBK" w:hint="eastAsia"/>
          <w:kern w:val="0"/>
          <w:szCs w:val="32"/>
        </w:rPr>
        <w:t>万元。</w:t>
      </w:r>
    </w:p>
    <w:p w:rsidR="00122B6D" w:rsidRDefault="00F01EEF">
      <w:pPr>
        <w:pStyle w:val="a3"/>
        <w:widowControl w:val="0"/>
        <w:adjustRightInd w:val="0"/>
        <w:snapToGrid w:val="0"/>
        <w:spacing w:after="0"/>
        <w:ind w:firstLineChars="200" w:firstLine="640"/>
        <w:rPr>
          <w:rFonts w:eastAsia="方正仿宋_GBK"/>
          <w:kern w:val="0"/>
          <w:szCs w:val="32"/>
        </w:rPr>
      </w:pPr>
      <w:r>
        <w:rPr>
          <w:rFonts w:eastAsia="方正仿宋_GBK"/>
          <w:kern w:val="0"/>
          <w:szCs w:val="32"/>
        </w:rPr>
        <w:t>（</w:t>
      </w:r>
      <w:r>
        <w:rPr>
          <w:rFonts w:eastAsia="方正仿宋_GBK"/>
          <w:kern w:val="0"/>
          <w:szCs w:val="32"/>
        </w:rPr>
        <w:t>2</w:t>
      </w:r>
      <w:r>
        <w:rPr>
          <w:rFonts w:eastAsia="方正仿宋_GBK"/>
          <w:kern w:val="0"/>
          <w:szCs w:val="32"/>
        </w:rPr>
        <w:t>）市级储备粮油信息</w:t>
      </w:r>
      <w:r>
        <w:rPr>
          <w:rFonts w:eastAsia="方正仿宋_GBK" w:hint="eastAsia"/>
          <w:kern w:val="0"/>
          <w:szCs w:val="32"/>
        </w:rPr>
        <w:t>收集和数据核实服务工作</w:t>
      </w:r>
    </w:p>
    <w:p w:rsidR="00122B6D" w:rsidRDefault="00F01EEF">
      <w:pPr>
        <w:pStyle w:val="a3"/>
        <w:widowControl w:val="0"/>
        <w:adjustRightInd w:val="0"/>
        <w:snapToGrid w:val="0"/>
        <w:spacing w:after="0"/>
        <w:ind w:firstLine="640"/>
        <w:rPr>
          <w:rFonts w:eastAsia="方正仿宋_GBK"/>
          <w:kern w:val="0"/>
          <w:szCs w:val="32"/>
        </w:rPr>
      </w:pPr>
      <w:r>
        <w:rPr>
          <w:rFonts w:eastAsia="方正仿宋_GBK" w:hint="eastAsia"/>
          <w:kern w:val="0"/>
          <w:szCs w:val="32"/>
        </w:rPr>
        <w:t>通过政府采购的方式委托南京市储备粮油管理有限公司开展市级储备粮油信息收集和数据核实服务工作。主要包括：全年按月完成全市市级储备原粮和成品粮油的全覆盖日常巡查；及时完成储备粮轮空仓容核验与轮入预验收；按季核算并上报市、区两级储备粮油补贴；规范管理地方储备粮收购贷款共同担保基金；按时完成月度粮油统计报表报送；落实节假日及突发情况应急监测预警；协助开展年度粮食政策法规培训。</w:t>
      </w:r>
    </w:p>
    <w:p w:rsidR="00122B6D" w:rsidRDefault="00F01EEF">
      <w:pPr>
        <w:pStyle w:val="a3"/>
        <w:widowControl w:val="0"/>
        <w:adjustRightInd w:val="0"/>
        <w:snapToGrid w:val="0"/>
        <w:spacing w:after="0"/>
        <w:ind w:firstLineChars="200" w:firstLine="640"/>
        <w:rPr>
          <w:rFonts w:eastAsia="方正仿宋_GBK"/>
          <w:kern w:val="0"/>
          <w:szCs w:val="32"/>
        </w:rPr>
      </w:pPr>
      <w:r>
        <w:rPr>
          <w:rFonts w:eastAsia="方正仿宋_GBK"/>
          <w:kern w:val="0"/>
          <w:szCs w:val="32"/>
        </w:rPr>
        <w:t>（</w:t>
      </w:r>
      <w:r>
        <w:rPr>
          <w:rFonts w:eastAsia="方正仿宋_GBK"/>
          <w:kern w:val="0"/>
          <w:szCs w:val="32"/>
        </w:rPr>
        <w:t>3</w:t>
      </w:r>
      <w:r>
        <w:rPr>
          <w:rFonts w:eastAsia="方正仿宋_GBK"/>
          <w:kern w:val="0"/>
          <w:szCs w:val="32"/>
        </w:rPr>
        <w:t>）建立优质粮食保供基地，定向销售工作</w:t>
      </w:r>
    </w:p>
    <w:p w:rsidR="00122B6D" w:rsidRDefault="00F01EEF">
      <w:pPr>
        <w:pStyle w:val="a3"/>
        <w:widowControl w:val="0"/>
        <w:adjustRightInd w:val="0"/>
        <w:snapToGrid w:val="0"/>
        <w:spacing w:after="0"/>
        <w:ind w:firstLineChars="200" w:firstLine="640"/>
        <w:rPr>
          <w:rFonts w:eastAsia="方正仿宋_GBK"/>
          <w:kern w:val="0"/>
          <w:szCs w:val="32"/>
        </w:rPr>
      </w:pPr>
      <w:r>
        <w:rPr>
          <w:rFonts w:hint="eastAsia"/>
          <w:kern w:val="0"/>
        </w:rPr>
        <w:t>根据《宁淮粮食产销合作战略协议（</w:t>
      </w:r>
      <w:r>
        <w:rPr>
          <w:rFonts w:hint="eastAsia"/>
          <w:kern w:val="0"/>
        </w:rPr>
        <w:t>2024-2028</w:t>
      </w:r>
      <w:r>
        <w:rPr>
          <w:rFonts w:hint="eastAsia"/>
          <w:kern w:val="0"/>
        </w:rPr>
        <w:t>）》要求</w:t>
      </w:r>
      <w:r>
        <w:rPr>
          <w:kern w:val="0"/>
        </w:rPr>
        <w:t>，</w:t>
      </w:r>
      <w:r>
        <w:rPr>
          <w:rFonts w:hint="eastAsia"/>
          <w:kern w:val="0"/>
        </w:rPr>
        <w:t>淮安市实际</w:t>
      </w:r>
      <w:r>
        <w:rPr>
          <w:kern w:val="0"/>
        </w:rPr>
        <w:t>向南京市场</w:t>
      </w:r>
      <w:r>
        <w:rPr>
          <w:rFonts w:hint="eastAsia"/>
          <w:kern w:val="0"/>
        </w:rPr>
        <w:t>供应稻谷</w:t>
      </w:r>
      <w:r>
        <w:rPr>
          <w:rFonts w:hint="eastAsia"/>
          <w:kern w:val="0"/>
        </w:rPr>
        <w:t>(</w:t>
      </w:r>
      <w:r>
        <w:rPr>
          <w:rFonts w:hint="eastAsia"/>
          <w:kern w:val="0"/>
        </w:rPr>
        <w:t>大米按标准折算成稻谷</w:t>
      </w:r>
      <w:r>
        <w:rPr>
          <w:rFonts w:hint="eastAsia"/>
          <w:kern w:val="0"/>
        </w:rPr>
        <w:t>)</w:t>
      </w:r>
      <w:r>
        <w:rPr>
          <w:rFonts w:eastAsia="方正仿宋_GBK" w:hint="eastAsia"/>
          <w:kern w:val="0"/>
          <w:szCs w:val="32"/>
        </w:rPr>
        <w:t>**</w:t>
      </w:r>
      <w:r>
        <w:rPr>
          <w:rFonts w:hint="eastAsia"/>
          <w:kern w:val="0"/>
        </w:rPr>
        <w:t>万吨，小麦</w:t>
      </w:r>
      <w:r>
        <w:rPr>
          <w:rFonts w:hint="eastAsia"/>
          <w:kern w:val="0"/>
        </w:rPr>
        <w:t>(</w:t>
      </w:r>
      <w:r>
        <w:rPr>
          <w:rFonts w:hint="eastAsia"/>
          <w:kern w:val="0"/>
        </w:rPr>
        <w:t>面粉按标准折算成小麦</w:t>
      </w:r>
      <w:r>
        <w:rPr>
          <w:rFonts w:hint="eastAsia"/>
          <w:kern w:val="0"/>
        </w:rPr>
        <w:t>)</w:t>
      </w:r>
      <w:r>
        <w:rPr>
          <w:rFonts w:eastAsia="方正仿宋_GBK" w:hint="eastAsia"/>
          <w:kern w:val="0"/>
          <w:szCs w:val="32"/>
        </w:rPr>
        <w:t>**</w:t>
      </w:r>
      <w:r>
        <w:rPr>
          <w:rFonts w:hint="eastAsia"/>
          <w:kern w:val="0"/>
        </w:rPr>
        <w:t>万吨，共计</w:t>
      </w:r>
      <w:r>
        <w:rPr>
          <w:rFonts w:eastAsia="方正仿宋_GBK" w:hint="eastAsia"/>
          <w:kern w:val="0"/>
          <w:szCs w:val="32"/>
        </w:rPr>
        <w:t>**</w:t>
      </w:r>
      <w:r>
        <w:rPr>
          <w:rFonts w:hint="eastAsia"/>
          <w:kern w:val="0"/>
        </w:rPr>
        <w:t>万吨；优选</w:t>
      </w:r>
      <w:r>
        <w:rPr>
          <w:rFonts w:eastAsia="方正仿宋_GBK" w:hint="eastAsia"/>
          <w:kern w:val="0"/>
          <w:szCs w:val="32"/>
        </w:rPr>
        <w:t>**</w:t>
      </w:r>
      <w:r>
        <w:rPr>
          <w:rFonts w:hint="eastAsia"/>
          <w:kern w:val="0"/>
        </w:rPr>
        <w:lastRenderedPageBreak/>
        <w:t>家成品粮加工企业作为宁淮应急加工企业，</w:t>
      </w:r>
      <w:r>
        <w:rPr>
          <w:rFonts w:eastAsia="方正仿宋_GBK" w:hint="eastAsia"/>
          <w:kern w:val="0"/>
          <w:szCs w:val="32"/>
        </w:rPr>
        <w:t>**</w:t>
      </w:r>
      <w:r>
        <w:rPr>
          <w:rFonts w:hint="eastAsia"/>
          <w:kern w:val="0"/>
        </w:rPr>
        <w:t>个县区粮食购销总公司和淮安市直属粮食储备库有限公司作为宁淮应急原粮保供企业，确保在应</w:t>
      </w:r>
      <w:r>
        <w:rPr>
          <w:rFonts w:eastAsia="方正仿宋_GBK" w:hint="eastAsia"/>
          <w:kern w:val="0"/>
          <w:szCs w:val="32"/>
        </w:rPr>
        <w:t>急情况下，供应南京市场半个月成品粮的消费量</w:t>
      </w:r>
      <w:r>
        <w:rPr>
          <w:rFonts w:eastAsia="方正仿宋_GBK" w:hint="eastAsia"/>
          <w:kern w:val="0"/>
          <w:szCs w:val="32"/>
        </w:rPr>
        <w:t>**</w:t>
      </w:r>
      <w:r>
        <w:rPr>
          <w:rFonts w:eastAsia="方正仿宋_GBK" w:hint="eastAsia"/>
          <w:kern w:val="0"/>
          <w:szCs w:val="32"/>
        </w:rPr>
        <w:t>万吨。</w:t>
      </w:r>
    </w:p>
    <w:p w:rsidR="00122B6D" w:rsidRDefault="00F01EEF">
      <w:pPr>
        <w:pStyle w:val="a3"/>
        <w:widowControl w:val="0"/>
        <w:adjustRightInd w:val="0"/>
        <w:snapToGrid w:val="0"/>
        <w:spacing w:after="0"/>
        <w:ind w:firstLineChars="200" w:firstLine="640"/>
        <w:rPr>
          <w:rFonts w:eastAsia="方正仿宋_GBK"/>
          <w:kern w:val="0"/>
          <w:szCs w:val="32"/>
        </w:rPr>
      </w:pPr>
      <w:r>
        <w:rPr>
          <w:rFonts w:eastAsia="方正仿宋_GBK" w:hint="eastAsia"/>
          <w:kern w:val="0"/>
          <w:szCs w:val="32"/>
        </w:rPr>
        <w:t>（</w:t>
      </w:r>
      <w:r>
        <w:rPr>
          <w:rFonts w:eastAsia="方正仿宋_GBK" w:hint="eastAsia"/>
          <w:kern w:val="0"/>
          <w:szCs w:val="32"/>
        </w:rPr>
        <w:t>4</w:t>
      </w:r>
      <w:r>
        <w:rPr>
          <w:rFonts w:eastAsia="方正仿宋_GBK" w:hint="eastAsia"/>
          <w:kern w:val="0"/>
          <w:szCs w:val="32"/>
        </w:rPr>
        <w:t>）粮食仓储物流能力建设及产业发展专项</w:t>
      </w:r>
    </w:p>
    <w:p w:rsidR="00122B6D" w:rsidRDefault="00F01EEF">
      <w:pPr>
        <w:pStyle w:val="a3"/>
        <w:widowControl w:val="0"/>
        <w:adjustRightInd w:val="0"/>
        <w:snapToGrid w:val="0"/>
        <w:spacing w:after="0"/>
        <w:ind w:firstLineChars="200" w:firstLine="640"/>
        <w:rPr>
          <w:kern w:val="0"/>
        </w:rPr>
      </w:pPr>
      <w:r>
        <w:rPr>
          <w:rFonts w:eastAsia="方正仿宋_GBK" w:hint="eastAsia"/>
          <w:kern w:val="0"/>
          <w:szCs w:val="32"/>
        </w:rPr>
        <w:t>根据《南京市粮食仓储物流能力建设及产业发展专项资金管理办法》</w:t>
      </w:r>
      <w:r>
        <w:rPr>
          <w:rFonts w:eastAsia="方正仿宋_GBK" w:hint="eastAsia"/>
          <w:kern w:val="0"/>
          <w:szCs w:val="32"/>
        </w:rPr>
        <w:t>(</w:t>
      </w:r>
      <w:r>
        <w:rPr>
          <w:rFonts w:eastAsia="方正仿宋_GBK" w:hint="eastAsia"/>
          <w:kern w:val="0"/>
          <w:szCs w:val="32"/>
        </w:rPr>
        <w:t>宁财规〔</w:t>
      </w:r>
      <w:r>
        <w:rPr>
          <w:rFonts w:eastAsia="方正仿宋_GBK" w:hint="eastAsia"/>
          <w:kern w:val="0"/>
          <w:szCs w:val="32"/>
        </w:rPr>
        <w:t>2021</w:t>
      </w:r>
      <w:r>
        <w:rPr>
          <w:rFonts w:eastAsia="方正仿宋_GBK" w:hint="eastAsia"/>
          <w:kern w:val="0"/>
          <w:szCs w:val="32"/>
        </w:rPr>
        <w:t>〕</w:t>
      </w:r>
      <w:r>
        <w:rPr>
          <w:rFonts w:eastAsia="方正仿宋_GBK" w:hint="eastAsia"/>
          <w:kern w:val="0"/>
          <w:szCs w:val="32"/>
        </w:rPr>
        <w:t>2</w:t>
      </w:r>
      <w:r>
        <w:rPr>
          <w:rFonts w:eastAsia="方正仿宋_GBK" w:hint="eastAsia"/>
          <w:kern w:val="0"/>
          <w:szCs w:val="32"/>
        </w:rPr>
        <w:t>号</w:t>
      </w:r>
      <w:r>
        <w:rPr>
          <w:rFonts w:eastAsia="方正仿宋_GBK" w:hint="eastAsia"/>
          <w:kern w:val="0"/>
          <w:szCs w:val="32"/>
        </w:rPr>
        <w:t>)</w:t>
      </w:r>
      <w:r>
        <w:rPr>
          <w:rFonts w:eastAsia="方正仿宋_GBK" w:hint="eastAsia"/>
          <w:kern w:val="0"/>
          <w:szCs w:val="32"/>
        </w:rPr>
        <w:t>和《南京市粮食仓储物流</w:t>
      </w:r>
      <w:r>
        <w:rPr>
          <w:rFonts w:eastAsia="方正仿宋_GBK" w:hint="eastAsia"/>
          <w:kern w:val="0"/>
          <w:szCs w:val="32"/>
        </w:rPr>
        <w:t>能力建设及产业发展项目储备库管理办法》</w:t>
      </w:r>
      <w:r>
        <w:rPr>
          <w:rFonts w:eastAsia="方正仿宋_GBK" w:hint="eastAsia"/>
          <w:kern w:val="0"/>
          <w:szCs w:val="32"/>
        </w:rPr>
        <w:t>(</w:t>
      </w:r>
      <w:r>
        <w:rPr>
          <w:rFonts w:eastAsia="方正仿宋_GBK" w:hint="eastAsia"/>
          <w:kern w:val="0"/>
          <w:szCs w:val="32"/>
        </w:rPr>
        <w:t>宁发改粮良建字〔</w:t>
      </w:r>
      <w:r>
        <w:rPr>
          <w:rFonts w:eastAsia="方正仿宋_GBK" w:hint="eastAsia"/>
          <w:kern w:val="0"/>
          <w:szCs w:val="32"/>
        </w:rPr>
        <w:t>2022</w:t>
      </w:r>
      <w:r>
        <w:rPr>
          <w:rFonts w:eastAsia="方正仿宋_GBK" w:hint="eastAsia"/>
          <w:kern w:val="0"/>
          <w:szCs w:val="32"/>
        </w:rPr>
        <w:t>〕</w:t>
      </w:r>
      <w:r>
        <w:rPr>
          <w:rFonts w:eastAsia="方正仿宋_GBK" w:hint="eastAsia"/>
          <w:kern w:val="0"/>
          <w:szCs w:val="32"/>
        </w:rPr>
        <w:t>342</w:t>
      </w:r>
      <w:r>
        <w:rPr>
          <w:rFonts w:eastAsia="方正仿宋_GBK" w:hint="eastAsia"/>
          <w:kern w:val="0"/>
          <w:szCs w:val="32"/>
        </w:rPr>
        <w:t>号</w:t>
      </w:r>
      <w:r>
        <w:rPr>
          <w:rFonts w:eastAsia="方正仿宋_GBK" w:hint="eastAsia"/>
          <w:kern w:val="0"/>
          <w:szCs w:val="32"/>
        </w:rPr>
        <w:t>),</w:t>
      </w:r>
      <w:r>
        <w:rPr>
          <w:rFonts w:eastAsia="方正仿宋_GBK" w:hint="eastAsia"/>
          <w:kern w:val="0"/>
          <w:szCs w:val="32"/>
        </w:rPr>
        <w:t>对相关项目进行补贴，其中，南京市六合</w:t>
      </w:r>
      <w:r>
        <w:rPr>
          <w:rFonts w:eastAsia="方正仿宋_GBK" w:hint="eastAsia"/>
          <w:kern w:val="0"/>
          <w:szCs w:val="32"/>
        </w:rPr>
        <w:t>**</w:t>
      </w:r>
      <w:r>
        <w:rPr>
          <w:rFonts w:eastAsia="方正仿宋_GBK" w:hint="eastAsia"/>
          <w:kern w:val="0"/>
          <w:szCs w:val="32"/>
        </w:rPr>
        <w:t>公司原粮平房仓</w:t>
      </w:r>
      <w:r>
        <w:rPr>
          <w:rFonts w:eastAsia="方正仿宋_GBK" w:hint="eastAsia"/>
          <w:kern w:val="0"/>
          <w:szCs w:val="32"/>
        </w:rPr>
        <w:t>(</w:t>
      </w:r>
      <w:r>
        <w:rPr>
          <w:rFonts w:eastAsia="方正仿宋_GBK" w:hint="eastAsia"/>
          <w:kern w:val="0"/>
          <w:szCs w:val="32"/>
        </w:rPr>
        <w:t>免熏蒸</w:t>
      </w:r>
      <w:r>
        <w:rPr>
          <w:rFonts w:eastAsia="方正仿宋_GBK" w:hint="eastAsia"/>
          <w:kern w:val="0"/>
          <w:szCs w:val="32"/>
        </w:rPr>
        <w:t xml:space="preserve">) </w:t>
      </w:r>
      <w:r>
        <w:rPr>
          <w:rFonts w:eastAsia="方正仿宋_GBK" w:hint="eastAsia"/>
          <w:kern w:val="0"/>
          <w:szCs w:val="32"/>
        </w:rPr>
        <w:t>低温改造项目、溧水</w:t>
      </w:r>
      <w:r>
        <w:rPr>
          <w:rFonts w:eastAsia="方正仿宋_GBK" w:hint="eastAsia"/>
          <w:kern w:val="0"/>
          <w:szCs w:val="32"/>
        </w:rPr>
        <w:t>**</w:t>
      </w:r>
      <w:r>
        <w:rPr>
          <w:rFonts w:eastAsia="方正仿宋_GBK" w:hint="eastAsia"/>
          <w:kern w:val="0"/>
          <w:szCs w:val="32"/>
        </w:rPr>
        <w:t>公司粮库基础设施升级改造和绿色仓储能力提升项目、高淳</w:t>
      </w:r>
      <w:r>
        <w:rPr>
          <w:rFonts w:eastAsia="方正仿宋_GBK" w:hint="eastAsia"/>
          <w:kern w:val="0"/>
          <w:szCs w:val="32"/>
        </w:rPr>
        <w:t>**</w:t>
      </w:r>
      <w:r>
        <w:rPr>
          <w:rFonts w:eastAsia="方正仿宋_GBK" w:hint="eastAsia"/>
          <w:kern w:val="0"/>
          <w:szCs w:val="32"/>
        </w:rPr>
        <w:t>公司</w:t>
      </w:r>
      <w:r>
        <w:rPr>
          <w:rFonts w:eastAsia="方正仿宋_GBK" w:hint="eastAsia"/>
          <w:kern w:val="0"/>
          <w:szCs w:val="32"/>
        </w:rPr>
        <w:t>**</w:t>
      </w:r>
      <w:r>
        <w:rPr>
          <w:rFonts w:eastAsia="方正仿宋_GBK" w:hint="eastAsia"/>
          <w:kern w:val="0"/>
          <w:szCs w:val="32"/>
        </w:rPr>
        <w:t>粮库升级改造项目按</w:t>
      </w:r>
      <w:r>
        <w:rPr>
          <w:kern w:val="0"/>
        </w:rPr>
        <w:t>照</w:t>
      </w:r>
      <w:r>
        <w:rPr>
          <w:rFonts w:hint="eastAsia"/>
          <w:kern w:val="0"/>
        </w:rPr>
        <w:t>总投资额</w:t>
      </w:r>
      <w:r>
        <w:rPr>
          <w:kern w:val="0"/>
        </w:rPr>
        <w:t>的</w:t>
      </w:r>
      <w:r>
        <w:rPr>
          <w:rFonts w:hint="eastAsia"/>
          <w:kern w:val="0"/>
        </w:rPr>
        <w:t>5</w:t>
      </w:r>
      <w:r>
        <w:rPr>
          <w:kern w:val="0"/>
        </w:rPr>
        <w:t>0%</w:t>
      </w:r>
      <w:r>
        <w:rPr>
          <w:kern w:val="0"/>
        </w:rPr>
        <w:t>予以补助。对南京</w:t>
      </w:r>
      <w:r>
        <w:rPr>
          <w:rFonts w:eastAsia="方正仿宋_GBK" w:hint="eastAsia"/>
          <w:kern w:val="0"/>
          <w:szCs w:val="32"/>
        </w:rPr>
        <w:t>**</w:t>
      </w:r>
      <w:r>
        <w:rPr>
          <w:kern w:val="0"/>
        </w:rPr>
        <w:t>米业有限公司、南京</w:t>
      </w:r>
      <w:r>
        <w:rPr>
          <w:rFonts w:eastAsia="方正仿宋_GBK" w:hint="eastAsia"/>
          <w:kern w:val="0"/>
          <w:szCs w:val="32"/>
        </w:rPr>
        <w:t>**</w:t>
      </w:r>
      <w:r>
        <w:rPr>
          <w:rFonts w:hint="eastAsia"/>
          <w:kern w:val="0"/>
        </w:rPr>
        <w:t>米业有限公司、南京</w:t>
      </w:r>
      <w:r>
        <w:rPr>
          <w:rFonts w:eastAsia="方正仿宋_GBK" w:hint="eastAsia"/>
          <w:kern w:val="0"/>
          <w:szCs w:val="32"/>
        </w:rPr>
        <w:t>**</w:t>
      </w:r>
      <w:r>
        <w:rPr>
          <w:rFonts w:hint="eastAsia"/>
          <w:kern w:val="0"/>
        </w:rPr>
        <w:t>农产品责任有限公司、江苏</w:t>
      </w:r>
      <w:r>
        <w:rPr>
          <w:rFonts w:eastAsia="方正仿宋_GBK" w:hint="eastAsia"/>
          <w:kern w:val="0"/>
          <w:szCs w:val="32"/>
        </w:rPr>
        <w:t>**</w:t>
      </w:r>
      <w:r>
        <w:rPr>
          <w:rFonts w:hint="eastAsia"/>
          <w:kern w:val="0"/>
        </w:rPr>
        <w:t>米业</w:t>
      </w:r>
      <w:r>
        <w:rPr>
          <w:rFonts w:hint="eastAsia"/>
        </w:rPr>
        <w:t>发展有限公司四</w:t>
      </w:r>
      <w:r>
        <w:t>家企</w:t>
      </w:r>
      <w:r>
        <w:rPr>
          <w:kern w:val="0"/>
        </w:rPr>
        <w:t>业</w:t>
      </w:r>
      <w:r>
        <w:rPr>
          <w:rFonts w:hint="eastAsia"/>
          <w:kern w:val="0"/>
        </w:rPr>
        <w:t>获得</w:t>
      </w:r>
      <w:r>
        <w:rPr>
          <w:kern w:val="0"/>
        </w:rPr>
        <w:t>江</w:t>
      </w:r>
      <w:r>
        <w:rPr>
          <w:rFonts w:hint="eastAsia"/>
          <w:kern w:val="0"/>
        </w:rPr>
        <w:t>苏省第四届“好吃苏米”品鉴活动金奖的企业</w:t>
      </w:r>
      <w:r>
        <w:rPr>
          <w:kern w:val="0"/>
        </w:rPr>
        <w:t>，给予一次性奖励，发放补贴</w:t>
      </w:r>
      <w:r>
        <w:rPr>
          <w:rFonts w:hint="eastAsia"/>
          <w:kern w:val="0"/>
        </w:rPr>
        <w:t>各</w:t>
      </w:r>
      <w:r>
        <w:rPr>
          <w:rFonts w:eastAsia="方正仿宋_GBK" w:hint="eastAsia"/>
          <w:kern w:val="0"/>
          <w:szCs w:val="32"/>
        </w:rPr>
        <w:t>**</w:t>
      </w:r>
      <w:r>
        <w:rPr>
          <w:kern w:val="0"/>
        </w:rPr>
        <w:t>万元。</w:t>
      </w:r>
    </w:p>
    <w:p w:rsidR="00122B6D" w:rsidRDefault="00F01EEF">
      <w:pPr>
        <w:widowControl w:val="0"/>
        <w:adjustRightInd w:val="0"/>
        <w:snapToGrid w:val="0"/>
        <w:ind w:firstLineChars="200" w:firstLine="640"/>
        <w:outlineLvl w:val="0"/>
        <w:rPr>
          <w:rFonts w:eastAsia="方正黑体_GBK"/>
        </w:rPr>
      </w:pPr>
      <w:bookmarkStart w:id="8" w:name="_Toc1448"/>
      <w:r>
        <w:rPr>
          <w:rFonts w:eastAsia="方正黑体_GBK"/>
        </w:rPr>
        <w:t>二、评价结论</w:t>
      </w:r>
      <w:bookmarkEnd w:id="8"/>
    </w:p>
    <w:p w:rsidR="00122B6D" w:rsidRDefault="00F01EEF">
      <w:pPr>
        <w:widowControl w:val="0"/>
        <w:adjustRightInd w:val="0"/>
        <w:snapToGrid w:val="0"/>
        <w:ind w:firstLineChars="200" w:firstLine="640"/>
        <w:jc w:val="left"/>
        <w:outlineLvl w:val="1"/>
        <w:rPr>
          <w:rFonts w:eastAsia="方正楷体_GBK"/>
          <w:kern w:val="0"/>
        </w:rPr>
      </w:pPr>
      <w:bookmarkStart w:id="9" w:name="_Toc8765"/>
      <w:r>
        <w:rPr>
          <w:rFonts w:eastAsia="方正楷体_GBK"/>
          <w:kern w:val="0"/>
        </w:rPr>
        <w:t>（一）评价对象、范围</w:t>
      </w:r>
      <w:bookmarkEnd w:id="9"/>
    </w:p>
    <w:p w:rsidR="00122B6D" w:rsidRDefault="00F01EEF">
      <w:pPr>
        <w:pStyle w:val="a9"/>
        <w:spacing w:line="560" w:lineRule="exact"/>
        <w:ind w:firstLine="640"/>
        <w:rPr>
          <w:rFonts w:ascii="Times New Roman" w:hAnsi="Times New Roman"/>
          <w:kern w:val="0"/>
          <w:shd w:val="clear" w:color="auto" w:fill="FFFFFF"/>
        </w:rPr>
      </w:pPr>
      <w:r>
        <w:rPr>
          <w:rFonts w:ascii="Times New Roman" w:hAnsi="Times New Roman"/>
          <w:bCs/>
        </w:rPr>
        <w:t>本次绩效评价对象为</w:t>
      </w:r>
      <w:r>
        <w:rPr>
          <w:rFonts w:ascii="Times New Roman" w:hAnsi="Times New Roman" w:hint="eastAsia"/>
          <w:kern w:val="0"/>
        </w:rPr>
        <w:t>2025</w:t>
      </w:r>
      <w:r>
        <w:rPr>
          <w:rFonts w:ascii="Times New Roman" w:hAnsi="Times New Roman" w:hint="eastAsia"/>
          <w:kern w:val="0"/>
        </w:rPr>
        <w:t>年</w:t>
      </w:r>
      <w:r>
        <w:rPr>
          <w:rFonts w:ascii="Times New Roman" w:hAnsi="Times New Roman"/>
          <w:kern w:val="0"/>
        </w:rPr>
        <w:t>度</w:t>
      </w:r>
      <w:r>
        <w:rPr>
          <w:rFonts w:ascii="Times New Roman" w:hAnsi="Times New Roman" w:hint="eastAsia"/>
          <w:kern w:val="0"/>
        </w:rPr>
        <w:t>粮食</w:t>
      </w:r>
      <w:r>
        <w:rPr>
          <w:rFonts w:ascii="Times New Roman" w:hAnsi="Times New Roman"/>
          <w:kern w:val="0"/>
        </w:rPr>
        <w:t>补贴专项资金</w:t>
      </w:r>
      <w:r>
        <w:rPr>
          <w:rFonts w:ascii="Times New Roman" w:hAnsi="Times New Roman"/>
        </w:rPr>
        <w:t>项目，包含专项资金使用情况、项目管理情况、完成情况及实施成效</w:t>
      </w:r>
      <w:r>
        <w:rPr>
          <w:rFonts w:ascii="Times New Roman" w:hAnsi="Times New Roman"/>
          <w:kern w:val="0"/>
          <w:shd w:val="clear" w:color="auto" w:fill="FFFFFF"/>
        </w:rPr>
        <w:t>。评价范围为</w:t>
      </w:r>
      <w:r>
        <w:rPr>
          <w:rFonts w:ascii="Times New Roman" w:hAnsi="Times New Roman"/>
          <w:kern w:val="0"/>
        </w:rPr>
        <w:t>专项资金</w:t>
      </w:r>
      <w:r>
        <w:rPr>
          <w:rFonts w:ascii="Times New Roman" w:hAnsi="Times New Roman"/>
        </w:rPr>
        <w:t>使用全过程，评价时间段为</w:t>
      </w:r>
      <w:r>
        <w:rPr>
          <w:rFonts w:ascii="Times New Roman" w:hAnsi="Times New Roman" w:hint="eastAsia"/>
        </w:rPr>
        <w:t>2025</w:t>
      </w:r>
      <w:r>
        <w:rPr>
          <w:rFonts w:ascii="Times New Roman" w:hAnsi="Times New Roman" w:hint="eastAsia"/>
        </w:rPr>
        <w:t>年</w:t>
      </w:r>
      <w:r>
        <w:rPr>
          <w:rFonts w:ascii="Times New Roman" w:hAnsi="Times New Roman" w:hint="eastAsia"/>
        </w:rPr>
        <w:t>1</w:t>
      </w:r>
      <w:r>
        <w:rPr>
          <w:rFonts w:ascii="Times New Roman" w:hAnsi="Times New Roman"/>
        </w:rPr>
        <w:t>月</w:t>
      </w:r>
      <w:r>
        <w:rPr>
          <w:rFonts w:ascii="Times New Roman" w:hAnsi="Times New Roman"/>
        </w:rPr>
        <w:t>1</w:t>
      </w:r>
      <w:r>
        <w:rPr>
          <w:rFonts w:ascii="Times New Roman" w:hAnsi="Times New Roman"/>
        </w:rPr>
        <w:t>日至</w:t>
      </w:r>
      <w:r>
        <w:rPr>
          <w:rFonts w:ascii="Times New Roman" w:hAnsi="Times New Roman" w:hint="eastAsia"/>
        </w:rPr>
        <w:t>2025</w:t>
      </w:r>
      <w:r>
        <w:rPr>
          <w:rFonts w:ascii="Times New Roman" w:hAnsi="Times New Roman" w:hint="eastAsia"/>
        </w:rPr>
        <w:t>年</w:t>
      </w:r>
      <w:r>
        <w:rPr>
          <w:rFonts w:ascii="Times New Roman" w:hAnsi="Times New Roman"/>
        </w:rPr>
        <w:t>12</w:t>
      </w:r>
      <w:r>
        <w:rPr>
          <w:rFonts w:ascii="Times New Roman" w:hAnsi="Times New Roman"/>
        </w:rPr>
        <w:t>月</w:t>
      </w:r>
      <w:r>
        <w:rPr>
          <w:rFonts w:ascii="Times New Roman" w:hAnsi="Times New Roman"/>
        </w:rPr>
        <w:t>31</w:t>
      </w:r>
      <w:r>
        <w:rPr>
          <w:rFonts w:ascii="Times New Roman" w:hAnsi="Times New Roman"/>
        </w:rPr>
        <w:t>日。</w:t>
      </w:r>
    </w:p>
    <w:p w:rsidR="00122B6D" w:rsidRDefault="00F01EEF">
      <w:pPr>
        <w:widowControl w:val="0"/>
        <w:adjustRightInd w:val="0"/>
        <w:snapToGrid w:val="0"/>
        <w:ind w:firstLineChars="200" w:firstLine="640"/>
        <w:jc w:val="left"/>
        <w:outlineLvl w:val="1"/>
        <w:rPr>
          <w:rFonts w:eastAsia="方正楷体_GBK"/>
          <w:kern w:val="0"/>
        </w:rPr>
      </w:pPr>
      <w:bookmarkStart w:id="10" w:name="_Toc14212"/>
      <w:r>
        <w:rPr>
          <w:rFonts w:eastAsia="方正楷体_GBK"/>
          <w:kern w:val="0"/>
        </w:rPr>
        <w:t>（二）评价结论、评分结果</w:t>
      </w:r>
      <w:bookmarkEnd w:id="10"/>
    </w:p>
    <w:p w:rsidR="00122B6D" w:rsidRDefault="00F01EEF">
      <w:pPr>
        <w:pStyle w:val="a3"/>
        <w:widowControl w:val="0"/>
        <w:adjustRightInd w:val="0"/>
        <w:snapToGrid w:val="0"/>
        <w:spacing w:after="0"/>
        <w:ind w:firstLineChars="200" w:firstLine="640"/>
        <w:rPr>
          <w:rFonts w:eastAsia="方正仿宋_GBK"/>
          <w:kern w:val="0"/>
          <w:szCs w:val="32"/>
        </w:rPr>
      </w:pPr>
      <w:r>
        <w:rPr>
          <w:rFonts w:eastAsia="方正仿宋_GBK"/>
          <w:kern w:val="0"/>
          <w:szCs w:val="32"/>
        </w:rPr>
        <w:lastRenderedPageBreak/>
        <w:t>本次绩效评价通过数据采集、问卷调查及现场访谈，对</w:t>
      </w:r>
      <w:r>
        <w:rPr>
          <w:rFonts w:eastAsia="方正仿宋_GBK" w:hint="eastAsia"/>
          <w:kern w:val="0"/>
          <w:szCs w:val="32"/>
        </w:rPr>
        <w:t>2025</w:t>
      </w:r>
      <w:r>
        <w:rPr>
          <w:rFonts w:eastAsia="方正仿宋_GBK" w:hint="eastAsia"/>
          <w:kern w:val="0"/>
          <w:szCs w:val="32"/>
        </w:rPr>
        <w:t>年</w:t>
      </w:r>
      <w:r>
        <w:rPr>
          <w:rFonts w:eastAsia="方正仿宋_GBK"/>
          <w:kern w:val="0"/>
          <w:szCs w:val="32"/>
        </w:rPr>
        <w:t>度粮食专项补助资金项目绩效进行客观评价，最终评分结果：总得分</w:t>
      </w:r>
      <w:r>
        <w:rPr>
          <w:rFonts w:eastAsia="方正仿宋_GBK" w:hint="eastAsia"/>
          <w:kern w:val="0"/>
          <w:szCs w:val="32"/>
        </w:rPr>
        <w:t>98.49</w:t>
      </w:r>
      <w:r>
        <w:rPr>
          <w:rFonts w:eastAsia="方正仿宋_GBK"/>
          <w:kern w:val="0"/>
          <w:szCs w:val="32"/>
        </w:rPr>
        <w:t>分，绩效等级为</w:t>
      </w:r>
      <w:r>
        <w:rPr>
          <w:rFonts w:eastAsia="方正仿宋_GBK"/>
          <w:kern w:val="0"/>
          <w:szCs w:val="32"/>
        </w:rPr>
        <w:t>“</w:t>
      </w:r>
      <w:r>
        <w:rPr>
          <w:rFonts w:eastAsia="方正仿宋_GBK"/>
          <w:kern w:val="0"/>
          <w:szCs w:val="32"/>
        </w:rPr>
        <w:t>优</w:t>
      </w:r>
      <w:r>
        <w:rPr>
          <w:rFonts w:eastAsia="方正仿宋_GBK"/>
          <w:kern w:val="0"/>
          <w:szCs w:val="32"/>
        </w:rPr>
        <w:t>”</w:t>
      </w:r>
      <w:r>
        <w:rPr>
          <w:rFonts w:eastAsia="方正仿宋_GBK"/>
          <w:kern w:val="0"/>
          <w:szCs w:val="32"/>
        </w:rPr>
        <w:t>。各部分权重和绩效分值见表</w:t>
      </w:r>
      <w:r>
        <w:rPr>
          <w:rFonts w:eastAsia="方正仿宋_GBK" w:hint="eastAsia"/>
          <w:kern w:val="0"/>
          <w:szCs w:val="32"/>
        </w:rPr>
        <w:t>2</w:t>
      </w:r>
      <w:r>
        <w:rPr>
          <w:rFonts w:eastAsia="方正仿宋_GBK"/>
          <w:kern w:val="0"/>
          <w:szCs w:val="32"/>
        </w:rPr>
        <w:t>。</w:t>
      </w:r>
    </w:p>
    <w:p w:rsidR="00122B6D" w:rsidRDefault="00F01EEF">
      <w:pPr>
        <w:pStyle w:val="a3"/>
        <w:widowControl w:val="0"/>
        <w:adjustRightInd w:val="0"/>
        <w:snapToGrid w:val="0"/>
        <w:spacing w:after="0"/>
        <w:jc w:val="center"/>
        <w:rPr>
          <w:rFonts w:eastAsia="仿宋"/>
          <w:b/>
          <w:bCs/>
          <w:sz w:val="28"/>
          <w:szCs w:val="28"/>
        </w:rPr>
      </w:pPr>
      <w:bookmarkStart w:id="11" w:name="_Toc10075"/>
      <w:bookmarkStart w:id="12" w:name="_Toc15000"/>
      <w:bookmarkStart w:id="13" w:name="_Toc38010868"/>
      <w:r>
        <w:rPr>
          <w:rFonts w:eastAsia="方正黑体_GBK" w:hint="eastAsia"/>
          <w:kern w:val="0"/>
          <w:sz w:val="28"/>
          <w:szCs w:val="28"/>
        </w:rPr>
        <w:t>表</w:t>
      </w:r>
      <w:r>
        <w:rPr>
          <w:rFonts w:eastAsia="方正黑体_GBK" w:hint="eastAsia"/>
          <w:kern w:val="0"/>
          <w:sz w:val="28"/>
          <w:szCs w:val="28"/>
        </w:rPr>
        <w:t>2</w:t>
      </w:r>
      <w:r>
        <w:rPr>
          <w:rFonts w:eastAsia="方正黑体_GBK" w:hint="eastAsia"/>
          <w:kern w:val="0"/>
          <w:sz w:val="28"/>
          <w:szCs w:val="28"/>
        </w:rPr>
        <w:t>：</w:t>
      </w:r>
      <w:r>
        <w:rPr>
          <w:rFonts w:eastAsia="方正黑体_GBK" w:hint="eastAsia"/>
          <w:kern w:val="0"/>
          <w:sz w:val="28"/>
          <w:szCs w:val="28"/>
        </w:rPr>
        <w:t>2025</w:t>
      </w:r>
      <w:r>
        <w:rPr>
          <w:rFonts w:eastAsia="方正黑体_GBK"/>
          <w:kern w:val="0"/>
          <w:sz w:val="28"/>
          <w:szCs w:val="28"/>
        </w:rPr>
        <w:t>年粮食专项补助资金绩效评价得分表</w:t>
      </w:r>
    </w:p>
    <w:tbl>
      <w:tblPr>
        <w:tblW w:w="55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949"/>
        <w:gridCol w:w="960"/>
        <w:gridCol w:w="960"/>
        <w:gridCol w:w="1088"/>
        <w:gridCol w:w="1275"/>
        <w:gridCol w:w="3307"/>
      </w:tblGrid>
      <w:tr w:rsidR="00122B6D">
        <w:trPr>
          <w:jc w:val="center"/>
        </w:trPr>
        <w:tc>
          <w:tcPr>
            <w:tcW w:w="1467" w:type="dxa"/>
            <w:noWrap/>
            <w:vAlign w:val="bottom"/>
          </w:tcPr>
          <w:bookmarkEnd w:id="11"/>
          <w:bookmarkEnd w:id="12"/>
          <w:bookmarkEnd w:id="13"/>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指标</w:t>
            </w:r>
          </w:p>
        </w:tc>
        <w:tc>
          <w:tcPr>
            <w:tcW w:w="949"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决策</w:t>
            </w:r>
          </w:p>
        </w:tc>
        <w:tc>
          <w:tcPr>
            <w:tcW w:w="960"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过程</w:t>
            </w:r>
          </w:p>
        </w:tc>
        <w:tc>
          <w:tcPr>
            <w:tcW w:w="960"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产出</w:t>
            </w:r>
          </w:p>
        </w:tc>
        <w:tc>
          <w:tcPr>
            <w:tcW w:w="1088"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效益</w:t>
            </w:r>
          </w:p>
        </w:tc>
        <w:tc>
          <w:tcPr>
            <w:tcW w:w="1275"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满意度</w:t>
            </w:r>
          </w:p>
        </w:tc>
        <w:tc>
          <w:tcPr>
            <w:tcW w:w="3307"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合计</w:t>
            </w:r>
          </w:p>
        </w:tc>
      </w:tr>
      <w:tr w:rsidR="00122B6D">
        <w:trPr>
          <w:trHeight w:val="90"/>
          <w:jc w:val="center"/>
        </w:trPr>
        <w:tc>
          <w:tcPr>
            <w:tcW w:w="1467"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权重</w:t>
            </w:r>
          </w:p>
        </w:tc>
        <w:tc>
          <w:tcPr>
            <w:tcW w:w="949"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方正楷体_GBK" w:cs="方正楷体_GBK" w:hint="eastAsia"/>
                <w:color w:val="000000"/>
                <w:kern w:val="0"/>
                <w:sz w:val="21"/>
                <w:szCs w:val="21"/>
              </w:rPr>
              <w:t>15</w:t>
            </w:r>
          </w:p>
        </w:tc>
        <w:tc>
          <w:tcPr>
            <w:tcW w:w="960"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方正楷体_GBK" w:cs="方正楷体_GBK" w:hint="eastAsia"/>
                <w:color w:val="000000"/>
                <w:kern w:val="0"/>
                <w:sz w:val="21"/>
                <w:szCs w:val="21"/>
              </w:rPr>
              <w:t>20</w:t>
            </w:r>
          </w:p>
        </w:tc>
        <w:tc>
          <w:tcPr>
            <w:tcW w:w="960"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方正楷体_GBK" w:cs="方正楷体_GBK" w:hint="eastAsia"/>
                <w:color w:val="000000"/>
                <w:kern w:val="0"/>
                <w:sz w:val="21"/>
                <w:szCs w:val="21"/>
              </w:rPr>
              <w:t>35</w:t>
            </w:r>
          </w:p>
        </w:tc>
        <w:tc>
          <w:tcPr>
            <w:tcW w:w="1088"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方正楷体_GBK" w:cs="方正楷体_GBK" w:hint="eastAsia"/>
                <w:color w:val="000000"/>
                <w:kern w:val="0"/>
                <w:sz w:val="21"/>
                <w:szCs w:val="21"/>
              </w:rPr>
              <w:t>20</w:t>
            </w:r>
          </w:p>
        </w:tc>
        <w:tc>
          <w:tcPr>
            <w:tcW w:w="1275"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方正楷体_GBK" w:cs="方正楷体_GBK" w:hint="eastAsia"/>
                <w:color w:val="000000"/>
                <w:kern w:val="0"/>
                <w:sz w:val="21"/>
                <w:szCs w:val="21"/>
              </w:rPr>
              <w:t>10</w:t>
            </w:r>
          </w:p>
        </w:tc>
        <w:tc>
          <w:tcPr>
            <w:tcW w:w="3307"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方正楷体_GBK" w:cs="方正楷体_GBK" w:hint="eastAsia"/>
                <w:color w:val="000000"/>
                <w:kern w:val="0"/>
                <w:sz w:val="21"/>
                <w:szCs w:val="21"/>
              </w:rPr>
              <w:t>100</w:t>
            </w:r>
          </w:p>
        </w:tc>
      </w:tr>
      <w:tr w:rsidR="00122B6D">
        <w:trPr>
          <w:jc w:val="center"/>
        </w:trPr>
        <w:tc>
          <w:tcPr>
            <w:tcW w:w="1467"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得分</w:t>
            </w:r>
          </w:p>
        </w:tc>
        <w:tc>
          <w:tcPr>
            <w:tcW w:w="949"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宋体"/>
                <w:color w:val="000000"/>
                <w:kern w:val="0"/>
                <w:sz w:val="21"/>
                <w:szCs w:val="21"/>
              </w:rPr>
              <w:t>1</w:t>
            </w:r>
            <w:r>
              <w:rPr>
                <w:rFonts w:eastAsia="宋体" w:hint="eastAsia"/>
                <w:color w:val="000000"/>
                <w:kern w:val="0"/>
                <w:sz w:val="21"/>
                <w:szCs w:val="21"/>
              </w:rPr>
              <w:t>5</w:t>
            </w:r>
          </w:p>
        </w:tc>
        <w:tc>
          <w:tcPr>
            <w:tcW w:w="960"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ascii="方正楷体_GBK" w:eastAsia="方正楷体_GBK" w:hAnsi="方正楷体_GBK" w:cs="方正楷体_GBK" w:hint="eastAsia"/>
                <w:sz w:val="21"/>
                <w:szCs w:val="21"/>
              </w:rPr>
              <w:t>18.8</w:t>
            </w:r>
          </w:p>
        </w:tc>
        <w:tc>
          <w:tcPr>
            <w:tcW w:w="960"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ascii="方正楷体_GBK" w:eastAsia="方正楷体_GBK" w:hAnsi="方正楷体_GBK" w:cs="方正楷体_GBK" w:hint="eastAsia"/>
                <w:sz w:val="21"/>
                <w:szCs w:val="21"/>
              </w:rPr>
              <w:t>35</w:t>
            </w:r>
          </w:p>
        </w:tc>
        <w:tc>
          <w:tcPr>
            <w:tcW w:w="1088"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宋体" w:hint="eastAsia"/>
                <w:color w:val="000000"/>
                <w:kern w:val="0"/>
                <w:sz w:val="21"/>
                <w:szCs w:val="21"/>
              </w:rPr>
              <w:t>20</w:t>
            </w:r>
          </w:p>
        </w:tc>
        <w:tc>
          <w:tcPr>
            <w:tcW w:w="1275"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ascii="方正楷体_GBK" w:eastAsia="方正楷体_GBK" w:hAnsi="方正楷体_GBK" w:cs="方正楷体_GBK" w:hint="eastAsia"/>
                <w:sz w:val="21"/>
                <w:szCs w:val="21"/>
              </w:rPr>
              <w:t>9.69</w:t>
            </w:r>
          </w:p>
        </w:tc>
        <w:tc>
          <w:tcPr>
            <w:tcW w:w="3307"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ascii="方正楷体_GBK" w:eastAsia="方正楷体_GBK" w:hAnsi="方正楷体_GBK" w:cs="方正楷体_GBK" w:hint="eastAsia"/>
                <w:sz w:val="21"/>
                <w:szCs w:val="21"/>
              </w:rPr>
              <w:t>98.49</w:t>
            </w:r>
          </w:p>
        </w:tc>
      </w:tr>
      <w:tr w:rsidR="00122B6D">
        <w:trPr>
          <w:jc w:val="center"/>
        </w:trPr>
        <w:tc>
          <w:tcPr>
            <w:tcW w:w="1467" w:type="dxa"/>
            <w:noWrap/>
            <w:vAlign w:val="bottom"/>
          </w:tcPr>
          <w:p w:rsidR="00122B6D" w:rsidRDefault="00F01EEF">
            <w:pPr>
              <w:spacing w:line="240" w:lineRule="atLeast"/>
              <w:jc w:val="center"/>
              <w:textAlignment w:val="bottom"/>
              <w:rPr>
                <w:rFonts w:ascii="方正楷体_GBK" w:eastAsia="方正楷体_GBK" w:hAnsi="方正楷体_GBK" w:cs="方正楷体_GBK"/>
                <w:b/>
                <w:bCs/>
                <w:sz w:val="21"/>
                <w:szCs w:val="21"/>
              </w:rPr>
            </w:pPr>
            <w:r>
              <w:rPr>
                <w:rFonts w:ascii="方正楷体_GBK" w:eastAsia="方正楷体_GBK" w:hAnsi="方正楷体_GBK" w:cs="方正楷体_GBK" w:hint="eastAsia"/>
                <w:b/>
                <w:bCs/>
                <w:kern w:val="0"/>
                <w:sz w:val="21"/>
                <w:szCs w:val="21"/>
              </w:rPr>
              <w:t>得分率</w:t>
            </w:r>
          </w:p>
        </w:tc>
        <w:tc>
          <w:tcPr>
            <w:tcW w:w="949"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宋体" w:hint="eastAsia"/>
                <w:color w:val="000000"/>
                <w:kern w:val="0"/>
                <w:sz w:val="21"/>
                <w:szCs w:val="21"/>
              </w:rPr>
              <w:t>100</w:t>
            </w:r>
            <w:r>
              <w:rPr>
                <w:rFonts w:eastAsia="宋体"/>
                <w:color w:val="000000"/>
                <w:kern w:val="0"/>
                <w:sz w:val="21"/>
                <w:szCs w:val="21"/>
              </w:rPr>
              <w:t>%</w:t>
            </w:r>
          </w:p>
        </w:tc>
        <w:tc>
          <w:tcPr>
            <w:tcW w:w="960"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宋体" w:hint="eastAsia"/>
                <w:color w:val="000000"/>
                <w:kern w:val="0"/>
                <w:sz w:val="21"/>
                <w:szCs w:val="21"/>
              </w:rPr>
              <w:t>94</w:t>
            </w:r>
            <w:r>
              <w:rPr>
                <w:rFonts w:eastAsia="宋体"/>
                <w:color w:val="000000"/>
                <w:kern w:val="0"/>
                <w:sz w:val="21"/>
                <w:szCs w:val="21"/>
              </w:rPr>
              <w:t>%</w:t>
            </w:r>
          </w:p>
        </w:tc>
        <w:tc>
          <w:tcPr>
            <w:tcW w:w="960"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宋体" w:hint="eastAsia"/>
                <w:color w:val="000000"/>
                <w:kern w:val="0"/>
                <w:sz w:val="21"/>
                <w:szCs w:val="21"/>
              </w:rPr>
              <w:t>100</w:t>
            </w:r>
            <w:r>
              <w:rPr>
                <w:rFonts w:eastAsia="宋体"/>
                <w:color w:val="000000"/>
                <w:kern w:val="0"/>
                <w:sz w:val="21"/>
                <w:szCs w:val="21"/>
              </w:rPr>
              <w:t>%</w:t>
            </w:r>
          </w:p>
        </w:tc>
        <w:tc>
          <w:tcPr>
            <w:tcW w:w="1088"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宋体"/>
                <w:color w:val="000000"/>
                <w:kern w:val="0"/>
                <w:sz w:val="21"/>
                <w:szCs w:val="21"/>
              </w:rPr>
              <w:t>100.00%</w:t>
            </w:r>
          </w:p>
        </w:tc>
        <w:tc>
          <w:tcPr>
            <w:tcW w:w="1275"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宋体" w:hint="eastAsia"/>
                <w:color w:val="000000"/>
                <w:kern w:val="0"/>
                <w:sz w:val="21"/>
                <w:szCs w:val="21"/>
              </w:rPr>
              <w:t>96.9</w:t>
            </w:r>
            <w:r>
              <w:rPr>
                <w:rFonts w:eastAsia="宋体"/>
                <w:color w:val="000000"/>
                <w:kern w:val="0"/>
                <w:sz w:val="21"/>
                <w:szCs w:val="21"/>
              </w:rPr>
              <w:t>%</w:t>
            </w:r>
          </w:p>
        </w:tc>
        <w:tc>
          <w:tcPr>
            <w:tcW w:w="3307" w:type="dxa"/>
            <w:noWrap/>
            <w:vAlign w:val="bottom"/>
          </w:tcPr>
          <w:p w:rsidR="00122B6D" w:rsidRDefault="00F01EEF">
            <w:pPr>
              <w:jc w:val="center"/>
              <w:textAlignment w:val="bottom"/>
              <w:rPr>
                <w:rFonts w:ascii="方正楷体_GBK" w:eastAsia="方正楷体_GBK" w:hAnsi="方正楷体_GBK" w:cs="方正楷体_GBK"/>
                <w:sz w:val="21"/>
                <w:szCs w:val="21"/>
              </w:rPr>
            </w:pPr>
            <w:r>
              <w:rPr>
                <w:rFonts w:eastAsia="宋体" w:hint="eastAsia"/>
                <w:kern w:val="0"/>
                <w:sz w:val="21"/>
                <w:szCs w:val="21"/>
              </w:rPr>
              <w:t>98.49</w:t>
            </w:r>
            <w:r>
              <w:rPr>
                <w:rFonts w:eastAsia="宋体"/>
                <w:kern w:val="0"/>
                <w:sz w:val="21"/>
                <w:szCs w:val="21"/>
              </w:rPr>
              <w:t>%</w:t>
            </w:r>
          </w:p>
        </w:tc>
      </w:tr>
    </w:tbl>
    <w:p w:rsidR="00122B6D" w:rsidRDefault="00F01EEF">
      <w:pPr>
        <w:pStyle w:val="a3"/>
        <w:widowControl w:val="0"/>
        <w:adjustRightInd w:val="0"/>
        <w:snapToGrid w:val="0"/>
        <w:spacing w:after="0"/>
        <w:ind w:firstLineChars="200" w:firstLine="640"/>
        <w:rPr>
          <w:rFonts w:eastAsia="方正仿宋_GBK"/>
          <w:kern w:val="0"/>
          <w:szCs w:val="32"/>
        </w:rPr>
      </w:pPr>
      <w:r>
        <w:rPr>
          <w:rFonts w:eastAsia="方正仿宋_GBK" w:hint="eastAsia"/>
          <w:kern w:val="0"/>
          <w:szCs w:val="32"/>
        </w:rPr>
        <w:t>具体评分</w:t>
      </w:r>
      <w:r>
        <w:rPr>
          <w:rFonts w:eastAsia="方正仿宋_GBK"/>
          <w:kern w:val="0"/>
          <w:szCs w:val="32"/>
        </w:rPr>
        <w:t>详见《</w:t>
      </w:r>
      <w:r>
        <w:rPr>
          <w:rFonts w:eastAsia="方正仿宋_GBK" w:hint="eastAsia"/>
          <w:kern w:val="0"/>
          <w:szCs w:val="32"/>
        </w:rPr>
        <w:t>2025</w:t>
      </w:r>
      <w:r>
        <w:rPr>
          <w:rFonts w:eastAsia="方正仿宋_GBK" w:hint="eastAsia"/>
          <w:kern w:val="0"/>
          <w:szCs w:val="32"/>
        </w:rPr>
        <w:t>年</w:t>
      </w:r>
      <w:r>
        <w:rPr>
          <w:rFonts w:eastAsia="方正仿宋_GBK"/>
          <w:kern w:val="0"/>
          <w:szCs w:val="32"/>
        </w:rPr>
        <w:t>度粮食专项补助资金绩效评价指标及评分表》）</w:t>
      </w:r>
    </w:p>
    <w:p w:rsidR="00122B6D" w:rsidRDefault="00F01EEF">
      <w:pPr>
        <w:widowControl w:val="0"/>
        <w:adjustRightInd w:val="0"/>
        <w:snapToGrid w:val="0"/>
        <w:ind w:firstLineChars="200" w:firstLine="640"/>
        <w:outlineLvl w:val="0"/>
        <w:rPr>
          <w:rFonts w:eastAsia="方正黑体_GBK"/>
        </w:rPr>
      </w:pPr>
      <w:bookmarkStart w:id="14" w:name="_Toc32144"/>
      <w:r>
        <w:rPr>
          <w:rFonts w:eastAsia="方正黑体_GBK"/>
        </w:rPr>
        <w:t>三、项目成效</w:t>
      </w:r>
      <w:bookmarkEnd w:id="14"/>
    </w:p>
    <w:p w:rsidR="00122B6D" w:rsidRDefault="00F01EEF">
      <w:pPr>
        <w:widowControl w:val="0"/>
        <w:adjustRightInd w:val="0"/>
        <w:snapToGrid w:val="0"/>
        <w:ind w:firstLineChars="200" w:firstLine="640"/>
        <w:jc w:val="left"/>
        <w:outlineLvl w:val="1"/>
        <w:rPr>
          <w:kern w:val="0"/>
        </w:rPr>
      </w:pPr>
      <w:r>
        <w:rPr>
          <w:rFonts w:eastAsia="方正楷体_GBK" w:hint="eastAsia"/>
          <w:kern w:val="0"/>
        </w:rPr>
        <w:t>（一）储备结构和布局进一步优化。</w:t>
      </w:r>
      <w:r>
        <w:rPr>
          <w:rFonts w:hint="eastAsia"/>
          <w:kern w:val="0"/>
        </w:rPr>
        <w:t>项目的实施进一步提高了</w:t>
      </w:r>
      <w:r>
        <w:rPr>
          <w:kern w:val="0"/>
        </w:rPr>
        <w:t>对储备粮质量的重视和对市场供需的动态调整，确保储备粮的常储常新，提高储备粮的品质和安全性。</w:t>
      </w:r>
      <w:r>
        <w:rPr>
          <w:rFonts w:hint="eastAsia"/>
          <w:kern w:val="0"/>
        </w:rPr>
        <w:t>储备计划整体上落实到位，储备结构既考虑了日常消费的稳定供应，也兼顾了应急状态下对不同种类粮油的保障需求，有助于维持粮油市场的稳定。</w:t>
      </w:r>
      <w:r>
        <w:rPr>
          <w:rFonts w:hint="eastAsia"/>
          <w:kern w:val="0"/>
        </w:rPr>
        <w:t>2025</w:t>
      </w:r>
      <w:r>
        <w:rPr>
          <w:kern w:val="0"/>
        </w:rPr>
        <w:t>年南京市市级成品粮储备规模为</w:t>
      </w:r>
      <w:r>
        <w:rPr>
          <w:rFonts w:hint="eastAsia"/>
          <w:kern w:val="0"/>
        </w:rPr>
        <w:t>**</w:t>
      </w:r>
      <w:r>
        <w:rPr>
          <w:kern w:val="0"/>
        </w:rPr>
        <w:t>吨，其中大米储备</w:t>
      </w:r>
      <w:r>
        <w:rPr>
          <w:rFonts w:hint="eastAsia"/>
          <w:kern w:val="0"/>
        </w:rPr>
        <w:t>**</w:t>
      </w:r>
      <w:r>
        <w:rPr>
          <w:kern w:val="0"/>
        </w:rPr>
        <w:t>吨，面粉储备</w:t>
      </w:r>
      <w:r>
        <w:rPr>
          <w:rFonts w:hint="eastAsia"/>
          <w:kern w:val="0"/>
        </w:rPr>
        <w:t>**</w:t>
      </w:r>
      <w:r>
        <w:rPr>
          <w:kern w:val="0"/>
        </w:rPr>
        <w:t>吨；</w:t>
      </w:r>
      <w:r>
        <w:rPr>
          <w:rFonts w:hint="eastAsia"/>
          <w:kern w:val="0"/>
        </w:rPr>
        <w:t>食用</w:t>
      </w:r>
      <w:r>
        <w:rPr>
          <w:kern w:val="0"/>
        </w:rPr>
        <w:t>成品油储备</w:t>
      </w:r>
      <w:r>
        <w:rPr>
          <w:rFonts w:hint="eastAsia"/>
          <w:kern w:val="0"/>
        </w:rPr>
        <w:t>**</w:t>
      </w:r>
      <w:r>
        <w:rPr>
          <w:kern w:val="0"/>
        </w:rPr>
        <w:t>吨，包括散装油</w:t>
      </w:r>
      <w:r>
        <w:rPr>
          <w:rFonts w:hint="eastAsia"/>
          <w:kern w:val="0"/>
        </w:rPr>
        <w:t>**</w:t>
      </w:r>
      <w:r>
        <w:rPr>
          <w:kern w:val="0"/>
        </w:rPr>
        <w:t>吨和小包装油</w:t>
      </w:r>
      <w:r>
        <w:rPr>
          <w:rFonts w:hint="eastAsia"/>
          <w:kern w:val="0"/>
        </w:rPr>
        <w:t>**</w:t>
      </w:r>
      <w:r>
        <w:rPr>
          <w:kern w:val="0"/>
        </w:rPr>
        <w:t>吨。</w:t>
      </w:r>
      <w:r>
        <w:rPr>
          <w:rFonts w:hint="eastAsia"/>
          <w:kern w:val="0"/>
        </w:rPr>
        <w:t>南京粮食集团储备粮管理有限公司、南京江宁储备粮管理有限公司、南京溧水白马粮食购销有限公司结合省级储备粮计划上收进一步优化储备布局，提高仓容使用效率。</w:t>
      </w:r>
    </w:p>
    <w:p w:rsidR="00122B6D" w:rsidRDefault="00F01EEF">
      <w:pPr>
        <w:widowControl w:val="0"/>
        <w:adjustRightInd w:val="0"/>
        <w:snapToGrid w:val="0"/>
        <w:ind w:firstLineChars="200" w:firstLine="640"/>
        <w:jc w:val="left"/>
        <w:outlineLvl w:val="1"/>
      </w:pPr>
      <w:r>
        <w:rPr>
          <w:rFonts w:eastAsia="方正楷体_GBK" w:hint="eastAsia"/>
          <w:kern w:val="0"/>
        </w:rPr>
        <w:t>（二）</w:t>
      </w:r>
      <w:r>
        <w:rPr>
          <w:rFonts w:eastAsia="方正楷体_GBK"/>
          <w:kern w:val="0"/>
        </w:rPr>
        <w:t>储备粮</w:t>
      </w:r>
      <w:r>
        <w:rPr>
          <w:rFonts w:eastAsia="方正楷体_GBK" w:hint="eastAsia"/>
          <w:kern w:val="0"/>
        </w:rPr>
        <w:t>轮换规范有序。</w:t>
      </w:r>
      <w:r>
        <w:rPr>
          <w:rFonts w:hint="eastAsia"/>
          <w:kern w:val="0"/>
        </w:rPr>
        <w:t>按照年初下达的轮换计划，有</w:t>
      </w:r>
      <w:r>
        <w:rPr>
          <w:rFonts w:hint="eastAsia"/>
          <w:kern w:val="0"/>
        </w:rPr>
        <w:lastRenderedPageBreak/>
        <w:t>序安排市级储备粮油收储和轮换。</w:t>
      </w:r>
      <w:r>
        <w:rPr>
          <w:rFonts w:hint="eastAsia"/>
        </w:rPr>
        <w:t>承储企业月末实</w:t>
      </w:r>
      <w:r>
        <w:rPr>
          <w:rFonts w:hint="eastAsia"/>
        </w:rPr>
        <w:t>物库存比例符合相关文件精神，无违规轮换，架空期执行符合政策规定。成品粮油储备计划得到了良好执行，能够在应急情况下迅速调配和供应粮食，减少突发事件对社会经济和居民生活的冲击，维护社会稳定。承储企业在管理上更加规范，市粮食和物资储备局的监督措施有效落实，进一步保障了储备粮库存真实、质量良好、储存安全。</w:t>
      </w:r>
      <w:bookmarkStart w:id="15" w:name="_Toc15665"/>
    </w:p>
    <w:p w:rsidR="00122B6D" w:rsidRDefault="00F01EEF">
      <w:pPr>
        <w:widowControl w:val="0"/>
        <w:adjustRightInd w:val="0"/>
        <w:snapToGrid w:val="0"/>
        <w:ind w:firstLineChars="200" w:firstLine="640"/>
        <w:jc w:val="left"/>
        <w:outlineLvl w:val="1"/>
        <w:rPr>
          <w:kern w:val="0"/>
        </w:rPr>
      </w:pPr>
      <w:r>
        <w:rPr>
          <w:rFonts w:eastAsia="方正楷体_GBK" w:hint="eastAsia"/>
          <w:kern w:val="0"/>
        </w:rPr>
        <w:t>（三）宁淮粮食产销合作项目成果显著</w:t>
      </w:r>
      <w:bookmarkEnd w:id="15"/>
      <w:r>
        <w:rPr>
          <w:rFonts w:eastAsia="方正楷体_GBK" w:hint="eastAsia"/>
          <w:kern w:val="0"/>
        </w:rPr>
        <w:t>。</w:t>
      </w:r>
      <w:r>
        <w:rPr>
          <w:rFonts w:hint="eastAsia"/>
        </w:rPr>
        <w:t>2025</w:t>
      </w:r>
      <w:r>
        <w:rPr>
          <w:rFonts w:hint="eastAsia"/>
        </w:rPr>
        <w:t>年宁淮产销计划目标超额完成，</w:t>
      </w:r>
      <w:r>
        <w:rPr>
          <w:rFonts w:hint="eastAsia"/>
        </w:rPr>
        <w:t>2025</w:t>
      </w:r>
      <w:r>
        <w:rPr>
          <w:rFonts w:hint="eastAsia"/>
        </w:rPr>
        <w:t>年度淮安市向南京市场供应稻谷</w:t>
      </w:r>
      <w:r>
        <w:rPr>
          <w:rFonts w:hint="eastAsia"/>
          <w:kern w:val="0"/>
        </w:rPr>
        <w:t>**</w:t>
      </w:r>
      <w:r>
        <w:rPr>
          <w:rFonts w:hint="eastAsia"/>
        </w:rPr>
        <w:t>万吨、小麦</w:t>
      </w:r>
      <w:r>
        <w:rPr>
          <w:rFonts w:hint="eastAsia"/>
          <w:kern w:val="0"/>
        </w:rPr>
        <w:t>**</w:t>
      </w:r>
      <w:r>
        <w:rPr>
          <w:rFonts w:hint="eastAsia"/>
        </w:rPr>
        <w:t>万吨，累计供应量达到</w:t>
      </w:r>
      <w:r>
        <w:rPr>
          <w:rFonts w:hint="eastAsia"/>
          <w:kern w:val="0"/>
        </w:rPr>
        <w:t>**</w:t>
      </w:r>
      <w:r>
        <w:rPr>
          <w:rFonts w:hint="eastAsia"/>
        </w:rPr>
        <w:t>万吨。这一成绩明显超过了《宁淮粮食产销合作战略协议</w:t>
      </w:r>
      <w:r>
        <w:rPr>
          <w:rFonts w:hint="eastAsia"/>
        </w:rPr>
        <w:t>(2024-</w:t>
      </w:r>
      <w:r>
        <w:rPr>
          <w:rFonts w:hint="eastAsia"/>
        </w:rPr>
        <w:t>2028</w:t>
      </w:r>
      <w:r>
        <w:rPr>
          <w:rFonts w:hint="eastAsia"/>
        </w:rPr>
        <w:t>年</w:t>
      </w:r>
      <w:r>
        <w:rPr>
          <w:rFonts w:hint="eastAsia"/>
        </w:rPr>
        <w:t>)</w:t>
      </w:r>
      <w:r>
        <w:rPr>
          <w:rFonts w:hint="eastAsia"/>
        </w:rPr>
        <w:t>》中规定的每年向南京市场供应</w:t>
      </w:r>
      <w:r>
        <w:rPr>
          <w:rFonts w:hint="eastAsia"/>
          <w:kern w:val="0"/>
        </w:rPr>
        <w:t>**</w:t>
      </w:r>
      <w:r>
        <w:rPr>
          <w:rFonts w:hint="eastAsia"/>
        </w:rPr>
        <w:t>万吨稻谷和小麦的定向销售任务，显示出淮安市在保障南京粮食供应方面能力出色，能有效满足南京市场的需求，为南京的粮食安全提供了坚实的供应基础。宁淮粮食产销合作项目促进淮安本地企业与南京市场的深度对接。淮安企业通过向南京市场供应粮食，拓宽了销售渠道，提升了产品在南京市场的知名度和市场份额。同时，双方联合举办产销衔接活动和宣传推介活</w:t>
      </w:r>
      <w:r>
        <w:rPr>
          <w:rFonts w:hint="eastAsia"/>
          <w:kern w:val="0"/>
        </w:rPr>
        <w:t>动，为企业间交流合作创造更多机会，进一步扩大了淮安优质粮油产品在南京及其他地区的销售网络，推动了淮安粮食产业的发展，更突显了宁淮两市粮食产销方</w:t>
      </w:r>
      <w:r>
        <w:rPr>
          <w:rFonts w:hint="eastAsia"/>
          <w:kern w:val="0"/>
        </w:rPr>
        <w:t>面的互补性。</w:t>
      </w:r>
    </w:p>
    <w:p w:rsidR="00122B6D" w:rsidRDefault="00F01EEF">
      <w:pPr>
        <w:widowControl w:val="0"/>
        <w:adjustRightInd w:val="0"/>
        <w:snapToGrid w:val="0"/>
        <w:ind w:firstLineChars="200" w:firstLine="640"/>
        <w:jc w:val="left"/>
        <w:outlineLvl w:val="1"/>
      </w:pPr>
      <w:r>
        <w:rPr>
          <w:rFonts w:eastAsia="方正楷体_GBK" w:hint="eastAsia"/>
          <w:kern w:val="0"/>
        </w:rPr>
        <w:t>（四）第三方核查构筑有力防线。</w:t>
      </w:r>
      <w:r>
        <w:rPr>
          <w:rFonts w:hint="eastAsia"/>
          <w:kern w:val="0"/>
        </w:rPr>
        <w:t>构建形成权责清晰、闭环管控的“政府监管</w:t>
      </w:r>
      <w:r>
        <w:rPr>
          <w:rFonts w:hint="eastAsia"/>
          <w:kern w:val="0"/>
        </w:rPr>
        <w:t>+</w:t>
      </w:r>
      <w:r>
        <w:rPr>
          <w:rFonts w:hint="eastAsia"/>
          <w:kern w:val="0"/>
        </w:rPr>
        <w:t>企业承储</w:t>
      </w:r>
      <w:r>
        <w:rPr>
          <w:rFonts w:hint="eastAsia"/>
          <w:kern w:val="0"/>
        </w:rPr>
        <w:t>+</w:t>
      </w:r>
      <w:r>
        <w:rPr>
          <w:rFonts w:hint="eastAsia"/>
          <w:kern w:val="0"/>
        </w:rPr>
        <w:t>第三方核查”协同管理模式。实现</w:t>
      </w:r>
      <w:r>
        <w:rPr>
          <w:rFonts w:hint="eastAsia"/>
          <w:kern w:val="0"/>
        </w:rPr>
        <w:lastRenderedPageBreak/>
        <w:t>了储备粮油数量真实、质量良好、储存安全的核心目标，保障了财政补贴资金精准拨付与信</w:t>
      </w:r>
      <w:r>
        <w:rPr>
          <w:rFonts w:hint="eastAsia"/>
        </w:rPr>
        <w:t>贷资金安全运行，提升了全市粮油应急保供响应能力，规范了承储企业日常管理行为，为全市粮食市场稳定和粮食安全战略落地提供了坚实支撑。</w:t>
      </w:r>
    </w:p>
    <w:p w:rsidR="00122B6D" w:rsidRDefault="00F01EEF">
      <w:pPr>
        <w:widowControl w:val="0"/>
        <w:adjustRightInd w:val="0"/>
        <w:snapToGrid w:val="0"/>
        <w:ind w:firstLineChars="200" w:firstLine="640"/>
        <w:jc w:val="left"/>
        <w:outlineLvl w:val="1"/>
        <w:rPr>
          <w:kern w:val="0"/>
        </w:rPr>
      </w:pPr>
      <w:r>
        <w:rPr>
          <w:rFonts w:eastAsia="方正楷体_GBK" w:hint="eastAsia"/>
          <w:kern w:val="0"/>
        </w:rPr>
        <w:t>(</w:t>
      </w:r>
      <w:r>
        <w:rPr>
          <w:rFonts w:eastAsia="方正楷体_GBK" w:hint="eastAsia"/>
          <w:kern w:val="0"/>
        </w:rPr>
        <w:t>五</w:t>
      </w:r>
      <w:r>
        <w:rPr>
          <w:rFonts w:eastAsia="方正楷体_GBK" w:hint="eastAsia"/>
          <w:kern w:val="0"/>
        </w:rPr>
        <w:t>)</w:t>
      </w:r>
      <w:r>
        <w:rPr>
          <w:rFonts w:eastAsia="方正楷体_GBK" w:hint="eastAsia"/>
          <w:kern w:val="0"/>
        </w:rPr>
        <w:t>大力推进项目建设进度。</w:t>
      </w:r>
      <w:r>
        <w:rPr>
          <w:rFonts w:hint="eastAsia"/>
          <w:kern w:val="0"/>
        </w:rPr>
        <w:t>进一步加强项目全流程管理，定期督导推进</w:t>
      </w:r>
      <w:r>
        <w:rPr>
          <w:kern w:val="0"/>
        </w:rPr>
        <w:t>南京市六合</w:t>
      </w:r>
      <w:r>
        <w:rPr>
          <w:rFonts w:hint="eastAsia"/>
          <w:kern w:val="0"/>
        </w:rPr>
        <w:t>**</w:t>
      </w:r>
      <w:r>
        <w:rPr>
          <w:kern w:val="0"/>
        </w:rPr>
        <w:t>公</w:t>
      </w:r>
      <w:r>
        <w:rPr>
          <w:rFonts w:hint="eastAsia"/>
          <w:kern w:val="0"/>
        </w:rPr>
        <w:t>司原粮平房仓</w:t>
      </w:r>
      <w:r>
        <w:rPr>
          <w:rFonts w:hint="eastAsia"/>
          <w:kern w:val="0"/>
        </w:rPr>
        <w:t>(</w:t>
      </w:r>
      <w:r>
        <w:rPr>
          <w:rFonts w:hint="eastAsia"/>
          <w:kern w:val="0"/>
        </w:rPr>
        <w:t>免熏蒸</w:t>
      </w:r>
      <w:r>
        <w:rPr>
          <w:rFonts w:hint="eastAsia"/>
          <w:kern w:val="0"/>
        </w:rPr>
        <w:t xml:space="preserve">) </w:t>
      </w:r>
      <w:r>
        <w:rPr>
          <w:rFonts w:hint="eastAsia"/>
          <w:kern w:val="0"/>
        </w:rPr>
        <w:t>低温改造项目、</w:t>
      </w:r>
      <w:r>
        <w:rPr>
          <w:kern w:val="0"/>
        </w:rPr>
        <w:t>溧水</w:t>
      </w:r>
      <w:r>
        <w:rPr>
          <w:rFonts w:hint="eastAsia"/>
          <w:kern w:val="0"/>
        </w:rPr>
        <w:t>**</w:t>
      </w:r>
      <w:r>
        <w:rPr>
          <w:kern w:val="0"/>
        </w:rPr>
        <w:t>粮库基础设施升级改造和</w:t>
      </w:r>
      <w:r>
        <w:rPr>
          <w:rFonts w:hint="eastAsia"/>
          <w:kern w:val="0"/>
        </w:rPr>
        <w:t>绿色仓储能力提升项目、</w:t>
      </w:r>
      <w:r>
        <w:rPr>
          <w:kern w:val="0"/>
        </w:rPr>
        <w:t>高淳</w:t>
      </w:r>
      <w:r>
        <w:rPr>
          <w:rFonts w:hint="eastAsia"/>
          <w:kern w:val="0"/>
        </w:rPr>
        <w:t>*</w:t>
      </w:r>
      <w:r>
        <w:rPr>
          <w:rFonts w:hint="eastAsia"/>
          <w:kern w:val="0"/>
        </w:rPr>
        <w:t>*</w:t>
      </w:r>
      <w:r>
        <w:rPr>
          <w:rFonts w:hint="eastAsia"/>
          <w:kern w:val="0"/>
        </w:rPr>
        <w:t>限公司</w:t>
      </w:r>
      <w:r>
        <w:rPr>
          <w:rFonts w:hint="eastAsia"/>
          <w:kern w:val="0"/>
        </w:rPr>
        <w:t>**</w:t>
      </w:r>
      <w:r>
        <w:rPr>
          <w:kern w:val="0"/>
        </w:rPr>
        <w:t>粮库升级改造项目</w:t>
      </w:r>
      <w:r>
        <w:rPr>
          <w:rFonts w:hint="eastAsia"/>
          <w:kern w:val="0"/>
        </w:rPr>
        <w:t>的建设进度，确保各项目按照序时进度完成建设，并根据《南京市粮食仓储物流能力建设及产业发展专项资金管理办法》</w:t>
      </w:r>
      <w:r>
        <w:rPr>
          <w:rFonts w:hint="eastAsia"/>
          <w:kern w:val="0"/>
        </w:rPr>
        <w:t>(</w:t>
      </w:r>
      <w:r>
        <w:rPr>
          <w:rFonts w:hint="eastAsia"/>
          <w:kern w:val="0"/>
        </w:rPr>
        <w:t>宁财规〔</w:t>
      </w:r>
      <w:r>
        <w:rPr>
          <w:rFonts w:hint="eastAsia"/>
          <w:kern w:val="0"/>
        </w:rPr>
        <w:t>2021</w:t>
      </w:r>
      <w:r>
        <w:rPr>
          <w:rFonts w:hint="eastAsia"/>
          <w:kern w:val="0"/>
        </w:rPr>
        <w:t>〕</w:t>
      </w:r>
      <w:r>
        <w:rPr>
          <w:rFonts w:hint="eastAsia"/>
          <w:kern w:val="0"/>
        </w:rPr>
        <w:t>2</w:t>
      </w:r>
      <w:r>
        <w:rPr>
          <w:rFonts w:hint="eastAsia"/>
          <w:kern w:val="0"/>
        </w:rPr>
        <w:t>号</w:t>
      </w:r>
      <w:r>
        <w:rPr>
          <w:rFonts w:hint="eastAsia"/>
          <w:kern w:val="0"/>
        </w:rPr>
        <w:t>)</w:t>
      </w:r>
      <w:r>
        <w:rPr>
          <w:rFonts w:hint="eastAsia"/>
          <w:kern w:val="0"/>
        </w:rPr>
        <w:t>对各项目进行补助，促进粮食仓储及产业高质量发展。</w:t>
      </w:r>
    </w:p>
    <w:p w:rsidR="00122B6D" w:rsidRDefault="00F01EEF">
      <w:pPr>
        <w:widowControl w:val="0"/>
        <w:adjustRightInd w:val="0"/>
        <w:snapToGrid w:val="0"/>
        <w:ind w:firstLineChars="200" w:firstLine="640"/>
        <w:outlineLvl w:val="0"/>
        <w:rPr>
          <w:rFonts w:eastAsia="方正黑体_GBK"/>
        </w:rPr>
      </w:pPr>
      <w:bookmarkStart w:id="16" w:name="_Toc19239"/>
      <w:r>
        <w:rPr>
          <w:rFonts w:eastAsia="方正黑体_GBK" w:hint="eastAsia"/>
        </w:rPr>
        <w:t>四、</w:t>
      </w:r>
      <w:r>
        <w:rPr>
          <w:rFonts w:eastAsia="方正黑体_GBK"/>
        </w:rPr>
        <w:t>存在问题及原因分析</w:t>
      </w:r>
      <w:bookmarkEnd w:id="16"/>
    </w:p>
    <w:p w:rsidR="00122B6D" w:rsidRDefault="00F01EEF">
      <w:pPr>
        <w:widowControl w:val="0"/>
        <w:adjustRightInd w:val="0"/>
        <w:snapToGrid w:val="0"/>
        <w:ind w:firstLineChars="200" w:firstLine="640"/>
        <w:jc w:val="left"/>
        <w:outlineLvl w:val="1"/>
      </w:pPr>
      <w:r>
        <w:rPr>
          <w:rFonts w:eastAsia="方正楷体_GBK" w:hint="eastAsia"/>
          <w:kern w:val="0"/>
        </w:rPr>
        <w:t>一、</w:t>
      </w:r>
      <w:r>
        <w:rPr>
          <w:rFonts w:eastAsia="方正楷体_GBK"/>
          <w:kern w:val="0"/>
        </w:rPr>
        <w:t>成品粮分类管理机制尚待健全。</w:t>
      </w:r>
      <w:r>
        <w:t>现行储备粮管理制度在实际执行中与成品粮管理需求之间存在明显的适用性偏差，已成为制约管理效能提升的突出问题</w:t>
      </w:r>
      <w:r>
        <w:t> </w:t>
      </w:r>
      <w:r>
        <w:rPr>
          <w:rFonts w:hint="eastAsia"/>
        </w:rPr>
        <w:t>。</w:t>
      </w:r>
      <w:r>
        <w:rPr>
          <w:b/>
          <w:bCs/>
        </w:rPr>
        <w:t>制度设计与管理实际脱节。</w:t>
      </w:r>
      <w:r>
        <w:t>国家、省虽已相继出台储备粮管理制度，但相关条款表述主要立足于原粮管理视角，未对原粮与成品粮实行分类管理，制度供给与实际管理需求之间存在结构性错位。</w:t>
      </w:r>
      <w:r>
        <w:rPr>
          <w:b/>
          <w:bCs/>
        </w:rPr>
        <w:t>成品粮管理复杂性未被充分考量。</w:t>
      </w:r>
      <w:r>
        <w:t>实际工作中，成品粮管理涉及品种多（大米、面粉、油脂）、承储方式差异大（动态与静态并存）、承储主体类型多元（批发市场、</w:t>
      </w:r>
      <w:r>
        <w:rPr>
          <w:rFonts w:hint="eastAsia"/>
        </w:rPr>
        <w:t>商超、</w:t>
      </w:r>
      <w:r>
        <w:t>加工企业</w:t>
      </w:r>
      <w:r>
        <w:rPr>
          <w:rFonts w:hint="eastAsia"/>
        </w:rPr>
        <w:t>、贸易企业</w:t>
      </w:r>
      <w:r>
        <w:t>）等多重维度，管理难度</w:t>
      </w:r>
      <w:r>
        <w:rPr>
          <w:rFonts w:hint="eastAsia"/>
        </w:rPr>
        <w:t>明确</w:t>
      </w:r>
      <w:r>
        <w:rPr>
          <w:rFonts w:hint="eastAsia"/>
        </w:rPr>
        <w:t>有</w:t>
      </w:r>
      <w:r>
        <w:rPr>
          <w:rFonts w:hint="eastAsia"/>
        </w:rPr>
        <w:t>别于</w:t>
      </w:r>
      <w:r>
        <w:t>原粮。现行制度缺乏针对性的差异化管理措施，一</w:t>
      </w:r>
      <w:r>
        <w:lastRenderedPageBreak/>
        <w:t>定程度上影响了管理的精准性和实效性。</w:t>
      </w:r>
    </w:p>
    <w:p w:rsidR="00122B6D" w:rsidRDefault="00F01EEF">
      <w:pPr>
        <w:widowControl w:val="0"/>
        <w:ind w:firstLine="640"/>
        <w:jc w:val="left"/>
        <w:outlineLvl w:val="1"/>
      </w:pPr>
      <w:r>
        <w:rPr>
          <w:rFonts w:eastAsia="方正楷体_GBK"/>
          <w:kern w:val="0"/>
        </w:rPr>
        <w:t>二、</w:t>
      </w:r>
      <w:r>
        <w:rPr>
          <w:rFonts w:eastAsia="方正楷体_GBK"/>
          <w:color w:val="000000"/>
          <w:kern w:val="0"/>
        </w:rPr>
        <w:t>部分库点存在设施故障、库容库貌欠佳问题。</w:t>
      </w:r>
      <w:r>
        <w:rPr>
          <w:lang w:bidi="ar"/>
        </w:rPr>
        <w:t>日常检查总体情况良好，</w:t>
      </w:r>
      <w:r>
        <w:rPr>
          <w:color w:val="000000"/>
        </w:rPr>
        <w:t>储备粮仓房完</w:t>
      </w:r>
      <w:r>
        <w:rPr>
          <w:rFonts w:hint="eastAsia"/>
          <w:color w:val="000000"/>
        </w:rPr>
        <w:t>好</w:t>
      </w:r>
      <w:r>
        <w:rPr>
          <w:color w:val="000000"/>
        </w:rPr>
        <w:t>，</w:t>
      </w:r>
      <w:r>
        <w:rPr>
          <w:lang w:bidi="ar"/>
        </w:rPr>
        <w:t>三防配套设施齐全，粮情监测、保管日志等记录资料完整规范。但部分承储企业存在库容库貌</w:t>
      </w:r>
      <w:r>
        <w:rPr>
          <w:color w:val="000000"/>
        </w:rPr>
        <w:t>欠佳、</w:t>
      </w:r>
      <w:r>
        <w:rPr>
          <w:lang w:bidi="ar"/>
        </w:rPr>
        <w:t>仓储设备故障未</w:t>
      </w:r>
      <w:r>
        <w:rPr>
          <w:rFonts w:hint="eastAsia"/>
          <w:lang w:bidi="ar"/>
        </w:rPr>
        <w:t>及时</w:t>
      </w:r>
      <w:r>
        <w:rPr>
          <w:lang w:bidi="ar"/>
        </w:rPr>
        <w:t>维修等问题</w:t>
      </w:r>
      <w:r>
        <w:rPr>
          <w:color w:val="000000"/>
        </w:rPr>
        <w:t>。如在</w:t>
      </w:r>
      <w:r>
        <w:rPr>
          <w:color w:val="000000"/>
        </w:rPr>
        <w:t>9</w:t>
      </w:r>
      <w:r>
        <w:rPr>
          <w:color w:val="000000"/>
        </w:rPr>
        <w:t>月</w:t>
      </w:r>
      <w:r>
        <w:rPr>
          <w:rFonts w:hint="eastAsia"/>
        </w:rPr>
        <w:t>检</w:t>
      </w:r>
      <w:r>
        <w:rPr>
          <w:color w:val="000000"/>
        </w:rPr>
        <w:t>查中发现</w:t>
      </w:r>
      <w:r>
        <w:rPr>
          <w:rFonts w:hint="eastAsia"/>
          <w:kern w:val="0"/>
        </w:rPr>
        <w:t>**</w:t>
      </w:r>
      <w:r>
        <w:rPr>
          <w:rFonts w:hint="eastAsia"/>
          <w:kern w:val="0"/>
        </w:rPr>
        <w:t>、</w:t>
      </w:r>
      <w:r>
        <w:rPr>
          <w:rFonts w:hint="eastAsia"/>
          <w:kern w:val="0"/>
        </w:rPr>
        <w:t>**</w:t>
      </w:r>
      <w:r>
        <w:rPr>
          <w:color w:val="000000"/>
        </w:rPr>
        <w:t>两家米厂生产车间存在灰尘和蜘蛛网较多的情况</w:t>
      </w:r>
      <w:r>
        <w:rPr>
          <w:rFonts w:hint="eastAsia"/>
        </w:rPr>
        <w:t>；</w:t>
      </w:r>
      <w:r>
        <w:rPr>
          <w:color w:val="000000"/>
        </w:rPr>
        <w:t>在</w:t>
      </w:r>
      <w:r>
        <w:rPr>
          <w:color w:val="000000"/>
        </w:rPr>
        <w:t>12</w:t>
      </w:r>
      <w:r>
        <w:rPr>
          <w:color w:val="000000"/>
        </w:rPr>
        <w:t>月检查中发现江宁</w:t>
      </w:r>
      <w:r>
        <w:rPr>
          <w:rFonts w:hint="eastAsia"/>
          <w:kern w:val="0"/>
        </w:rPr>
        <w:t>**</w:t>
      </w:r>
      <w:r>
        <w:rPr>
          <w:color w:val="000000"/>
        </w:rPr>
        <w:t>库、溧水</w:t>
      </w:r>
      <w:r>
        <w:rPr>
          <w:rFonts w:hint="eastAsia"/>
          <w:kern w:val="0"/>
        </w:rPr>
        <w:t>**</w:t>
      </w:r>
      <w:r>
        <w:rPr>
          <w:color w:val="000000"/>
        </w:rPr>
        <w:t>桥库个别仓房防爆灯不亮、高淳</w:t>
      </w:r>
      <w:r>
        <w:rPr>
          <w:rFonts w:hint="eastAsia"/>
          <w:kern w:val="0"/>
        </w:rPr>
        <w:t>**</w:t>
      </w:r>
      <w:r>
        <w:rPr>
          <w:color w:val="000000"/>
        </w:rPr>
        <w:t>库</w:t>
      </w:r>
      <w:r>
        <w:rPr>
          <w:color w:val="000000"/>
        </w:rPr>
        <w:t>2</w:t>
      </w:r>
      <w:r>
        <w:rPr>
          <w:color w:val="000000"/>
        </w:rPr>
        <w:t>个仓安装的防虫网</w:t>
      </w:r>
      <w:r>
        <w:rPr>
          <w:rFonts w:hint="eastAsia"/>
        </w:rPr>
        <w:t>目数</w:t>
      </w:r>
      <w:r>
        <w:rPr>
          <w:color w:val="000000"/>
        </w:rPr>
        <w:t>不符合要求</w:t>
      </w:r>
      <w:r>
        <w:rPr>
          <w:rFonts w:hint="eastAsia"/>
          <w:color w:val="000000"/>
        </w:rPr>
        <w:t>等</w:t>
      </w:r>
      <w:r>
        <w:rPr>
          <w:color w:val="000000"/>
        </w:rPr>
        <w:t>，</w:t>
      </w:r>
      <w:r>
        <w:rPr>
          <w:rFonts w:hint="eastAsia"/>
        </w:rPr>
        <w:t>发现问题</w:t>
      </w:r>
      <w:r>
        <w:rPr>
          <w:color w:val="000000"/>
        </w:rPr>
        <w:t>均已要求企业立即整改</w:t>
      </w:r>
      <w:r>
        <w:rPr>
          <w:rFonts w:hint="eastAsia"/>
        </w:rPr>
        <w:t>。</w:t>
      </w:r>
    </w:p>
    <w:p w:rsidR="00122B6D" w:rsidRDefault="00F01EEF">
      <w:pPr>
        <w:widowControl w:val="0"/>
        <w:ind w:firstLine="640"/>
        <w:jc w:val="left"/>
        <w:outlineLvl w:val="1"/>
        <w:rPr>
          <w:lang w:bidi="ar"/>
        </w:rPr>
      </w:pPr>
      <w:r>
        <w:rPr>
          <w:rFonts w:eastAsia="方正楷体_GBK"/>
          <w:color w:val="000000"/>
          <w:kern w:val="0"/>
        </w:rPr>
        <w:t>三、</w:t>
      </w:r>
      <w:r>
        <w:rPr>
          <w:rFonts w:eastAsia="方正楷体_GBK"/>
          <w:color w:val="000000"/>
          <w:kern w:val="0"/>
          <w:lang w:bidi="ar"/>
        </w:rPr>
        <w:t>绿色仓储</w:t>
      </w:r>
      <w:r>
        <w:rPr>
          <w:rFonts w:eastAsia="方正楷体_GBK"/>
          <w:color w:val="000000"/>
          <w:kern w:val="0"/>
          <w:lang w:bidi="ar"/>
        </w:rPr>
        <w:t>能力</w:t>
      </w:r>
      <w:r>
        <w:rPr>
          <w:rFonts w:eastAsia="方正楷体_GBK"/>
          <w:color w:val="000000"/>
          <w:kern w:val="0"/>
          <w:lang w:bidi="ar"/>
        </w:rPr>
        <w:t>提升项目一体化设计水平仍有不足。</w:t>
      </w:r>
      <w:r>
        <w:rPr>
          <w:lang w:bidi="ar"/>
        </w:rPr>
        <w:t>以溧水白马粮食购销有限公司粮库基础设施升级改造暨绿色仓储能力提升项目为例，项目前期开展设计论证时，受改造成本因素制约，未能统筹构建</w:t>
      </w:r>
      <w:r>
        <w:rPr>
          <w:lang w:bidi="ar"/>
        </w:rPr>
        <w:t>“</w:t>
      </w:r>
      <w:r>
        <w:rPr>
          <w:lang w:bidi="ar"/>
        </w:rPr>
        <w:t>仓体改造</w:t>
      </w:r>
      <w:r>
        <w:rPr>
          <w:lang w:bidi="ar"/>
        </w:rPr>
        <w:t>+</w:t>
      </w:r>
      <w:r>
        <w:rPr>
          <w:lang w:bidi="ar"/>
        </w:rPr>
        <w:t>智能监测</w:t>
      </w:r>
      <w:r>
        <w:rPr>
          <w:lang w:bidi="ar"/>
        </w:rPr>
        <w:t>+</w:t>
      </w:r>
      <w:r>
        <w:rPr>
          <w:lang w:bidi="ar"/>
        </w:rPr>
        <w:t>绿色储粮防治</w:t>
      </w:r>
      <w:r>
        <w:rPr>
          <w:lang w:bidi="ar"/>
        </w:rPr>
        <w:t>”</w:t>
      </w:r>
      <w:r>
        <w:rPr>
          <w:lang w:bidi="ar"/>
        </w:rPr>
        <w:t>一体化实施体系，仅单独配套安装内环流控温装置，仓房气密</w:t>
      </w:r>
      <w:r>
        <w:rPr>
          <w:rFonts w:hint="eastAsia"/>
          <w:lang w:bidi="ar"/>
        </w:rPr>
        <w:t>性</w:t>
      </w:r>
      <w:r>
        <w:rPr>
          <w:lang w:bidi="ar"/>
        </w:rPr>
        <w:t>改造、氮气气调等关键绿色储粮技术未同步落地实施。由此造成整套储粮系统集成度偏低，设备运行能耗较高，项目整体节能减损成效未能充分发挥。</w:t>
      </w:r>
    </w:p>
    <w:p w:rsidR="00122B6D" w:rsidRDefault="00F01EEF">
      <w:pPr>
        <w:widowControl w:val="0"/>
        <w:adjustRightInd w:val="0"/>
        <w:snapToGrid w:val="0"/>
        <w:ind w:firstLineChars="200" w:firstLine="640"/>
        <w:outlineLvl w:val="0"/>
        <w:rPr>
          <w:rFonts w:eastAsia="方正黑体_GBK"/>
        </w:rPr>
      </w:pPr>
      <w:bookmarkStart w:id="17" w:name="_Toc13676"/>
      <w:r>
        <w:rPr>
          <w:rFonts w:eastAsia="方正黑体_GBK"/>
        </w:rPr>
        <w:t>五、有关建议</w:t>
      </w:r>
      <w:bookmarkEnd w:id="17"/>
    </w:p>
    <w:p w:rsidR="00122B6D" w:rsidRDefault="00F01EEF">
      <w:pPr>
        <w:ind w:firstLineChars="200" w:firstLine="640"/>
        <w:jc w:val="left"/>
      </w:pPr>
      <w:bookmarkStart w:id="18" w:name="_Toc9142"/>
      <w:r>
        <w:rPr>
          <w:rFonts w:eastAsia="方正楷体_GBK" w:hint="eastAsia"/>
          <w:kern w:val="0"/>
        </w:rPr>
        <w:t>一、</w:t>
      </w:r>
      <w:r>
        <w:rPr>
          <w:rFonts w:eastAsia="方正楷体_GBK" w:hint="eastAsia"/>
          <w:kern w:val="0"/>
        </w:rPr>
        <w:t>加强制度建设，</w:t>
      </w:r>
      <w:r>
        <w:rPr>
          <w:rFonts w:eastAsia="方正楷体_GBK"/>
          <w:kern w:val="0"/>
        </w:rPr>
        <w:t>规范</w:t>
      </w:r>
      <w:r>
        <w:rPr>
          <w:rFonts w:eastAsia="方正楷体_GBK" w:hint="eastAsia"/>
          <w:kern w:val="0"/>
        </w:rPr>
        <w:t>成品粮油管</w:t>
      </w:r>
      <w:r>
        <w:rPr>
          <w:rFonts w:eastAsia="方正楷体_GBK"/>
          <w:kern w:val="0"/>
        </w:rPr>
        <w:t>理</w:t>
      </w:r>
      <w:r>
        <w:rPr>
          <w:rFonts w:eastAsia="方正楷体_GBK" w:hint="eastAsia"/>
          <w:kern w:val="0"/>
        </w:rPr>
        <w:t>。</w:t>
      </w:r>
      <w:r>
        <w:rPr>
          <w:rFonts w:hint="eastAsia"/>
        </w:rPr>
        <w:t>对于成品粮管理中存在的问题，我委已着手修订市级</w:t>
      </w:r>
      <w:r>
        <w:t>成品粮</w:t>
      </w:r>
      <w:r>
        <w:rPr>
          <w:rFonts w:hint="eastAsia"/>
        </w:rPr>
        <w:t>油</w:t>
      </w:r>
      <w:r>
        <w:t>管理办法，在现有制度框架基础上</w:t>
      </w:r>
      <w:r>
        <w:rPr>
          <w:rFonts w:hint="eastAsia"/>
        </w:rPr>
        <w:t>明</w:t>
      </w:r>
      <w:r>
        <w:t>确承储方式、承储主体等维度的差异化管理要求，填补制度空白。对动态成品粮轮换频率高、流转节奏快的特</w:t>
      </w:r>
      <w:r>
        <w:lastRenderedPageBreak/>
        <w:t>点，探索建立动态与静态成品粮分轨管理机制，破解</w:t>
      </w:r>
      <w:r>
        <w:rPr>
          <w:rFonts w:hint="eastAsia"/>
        </w:rPr>
        <w:t>“</w:t>
      </w:r>
      <w:r>
        <w:t>一刀切</w:t>
      </w:r>
      <w:r>
        <w:rPr>
          <w:rFonts w:hint="eastAsia"/>
        </w:rPr>
        <w:t>”</w:t>
      </w:r>
      <w:r>
        <w:t>困境。在制度修订过程中，同步梳理财政补贴、质量检测等配套政策，确保分类管理与现有政策体系有效衔接，充分调动承储主体积极性，保障成品粮储备体系高效运转。</w:t>
      </w:r>
      <w:bookmarkEnd w:id="18"/>
    </w:p>
    <w:p w:rsidR="00122B6D" w:rsidRDefault="00F01EEF">
      <w:pPr>
        <w:ind w:firstLineChars="200" w:firstLine="640"/>
        <w:jc w:val="left"/>
      </w:pPr>
      <w:r>
        <w:rPr>
          <w:rFonts w:eastAsia="方正楷体_GBK"/>
          <w:kern w:val="0"/>
          <w:lang w:bidi="ar"/>
        </w:rPr>
        <w:t>二、</w:t>
      </w:r>
      <w:r>
        <w:rPr>
          <w:rFonts w:eastAsia="方正楷体_GBK" w:hint="eastAsia"/>
          <w:kern w:val="0"/>
          <w:lang w:bidi="ar"/>
        </w:rPr>
        <w:t>紧盯薄弱环节，抓好储备粮日常管理。</w:t>
      </w:r>
      <w:r>
        <w:rPr>
          <w:lang w:bidi="ar"/>
        </w:rPr>
        <w:t>持续压实储备粮管控责任，采取定期</w:t>
      </w:r>
      <w:r>
        <w:rPr>
          <w:rFonts w:hint="eastAsia"/>
          <w:lang w:bidi="ar"/>
        </w:rPr>
        <w:t>检查</w:t>
      </w:r>
      <w:r>
        <w:rPr>
          <w:lang w:bidi="ar"/>
        </w:rPr>
        <w:t>与随机抽查相结合的模式，重</w:t>
      </w:r>
      <w:r>
        <w:rPr>
          <w:rFonts w:hint="eastAsia"/>
          <w:lang w:bidi="ar"/>
        </w:rPr>
        <w:t>点</w:t>
      </w:r>
      <w:r>
        <w:rPr>
          <w:lang w:bidi="ar"/>
        </w:rPr>
        <w:t>排查仓储设施设备运行隐患，纠治库区环境卫生脏乱等问题，建立问题台账限期整改闭环</w:t>
      </w:r>
      <w:r>
        <w:rPr>
          <w:rFonts w:hint="eastAsia"/>
          <w:lang w:bidi="ar"/>
        </w:rPr>
        <w:t>，</w:t>
      </w:r>
      <w:r>
        <w:rPr>
          <w:lang w:bidi="ar"/>
        </w:rPr>
        <w:t>规范仓储现场管理。全方位督</w:t>
      </w:r>
      <w:r>
        <w:rPr>
          <w:lang w:bidi="ar"/>
        </w:rPr>
        <w:t>促承储企业严格执行粮食仓储保管制度与各项储备管理要求，压紧企业主体责任，做到设施故障早发现、早维修、早处置，库区环境常态化整洁规范，切实守住粮油储备安全底线</w:t>
      </w:r>
      <w:r>
        <w:rPr>
          <w:rFonts w:hint="eastAsia"/>
          <w:lang w:bidi="ar"/>
        </w:rPr>
        <w:t>。</w:t>
      </w:r>
    </w:p>
    <w:p w:rsidR="00122B6D" w:rsidRDefault="00F01EEF">
      <w:pPr>
        <w:widowControl w:val="0"/>
        <w:adjustRightInd w:val="0"/>
        <w:snapToGrid w:val="0"/>
        <w:ind w:firstLineChars="200" w:firstLine="640"/>
        <w:outlineLvl w:val="0"/>
        <w:rPr>
          <w:rFonts w:eastAsia="方正黑体_GBK"/>
        </w:rPr>
      </w:pPr>
      <w:bookmarkStart w:id="19" w:name="_Toc24325"/>
      <w:r>
        <w:rPr>
          <w:rFonts w:eastAsia="方正黑体_GBK"/>
        </w:rPr>
        <w:t>六、评价工作开展情况及其他需说明的情况</w:t>
      </w:r>
      <w:bookmarkEnd w:id="19"/>
    </w:p>
    <w:p w:rsidR="00122B6D" w:rsidRDefault="00F01EEF">
      <w:pPr>
        <w:widowControl w:val="0"/>
        <w:adjustRightInd w:val="0"/>
        <w:snapToGrid w:val="0"/>
        <w:ind w:firstLineChars="200" w:firstLine="640"/>
        <w:jc w:val="left"/>
        <w:rPr>
          <w:kern w:val="0"/>
        </w:rPr>
      </w:pPr>
      <w:bookmarkStart w:id="20" w:name="_Toc13761"/>
      <w:r>
        <w:rPr>
          <w:rFonts w:hint="eastAsia"/>
          <w:kern w:val="0"/>
        </w:rPr>
        <w:t>2026</w:t>
      </w:r>
      <w:r>
        <w:rPr>
          <w:kern w:val="0"/>
        </w:rPr>
        <w:t>年</w:t>
      </w:r>
      <w:r>
        <w:rPr>
          <w:rFonts w:hint="eastAsia"/>
          <w:kern w:val="0"/>
        </w:rPr>
        <w:t>4</w:t>
      </w:r>
      <w:r>
        <w:rPr>
          <w:kern w:val="0"/>
        </w:rPr>
        <w:t>月</w:t>
      </w:r>
      <w:r>
        <w:rPr>
          <w:rFonts w:hint="eastAsia"/>
          <w:kern w:val="0"/>
        </w:rPr>
        <w:t>下旬</w:t>
      </w:r>
      <w:r>
        <w:rPr>
          <w:kern w:val="0"/>
        </w:rPr>
        <w:t>-</w:t>
      </w:r>
      <w:r>
        <w:rPr>
          <w:rFonts w:hint="eastAsia"/>
          <w:kern w:val="0"/>
        </w:rPr>
        <w:t>5</w:t>
      </w:r>
      <w:r>
        <w:rPr>
          <w:kern w:val="0"/>
        </w:rPr>
        <w:t>月</w:t>
      </w:r>
      <w:r>
        <w:rPr>
          <w:rFonts w:hint="eastAsia"/>
          <w:kern w:val="0"/>
        </w:rPr>
        <w:t>下旬</w:t>
      </w:r>
      <w:r>
        <w:rPr>
          <w:kern w:val="0"/>
        </w:rPr>
        <w:t>，</w:t>
      </w:r>
      <w:r>
        <w:rPr>
          <w:rFonts w:hint="eastAsia"/>
          <w:kern w:val="0"/>
        </w:rPr>
        <w:t>按</w:t>
      </w:r>
      <w:r>
        <w:rPr>
          <w:kern w:val="0"/>
        </w:rPr>
        <w:t>照《南京市市级财政预算绩效评价操作规程（试行）》（宁财绩〔</w:t>
      </w:r>
      <w:r>
        <w:rPr>
          <w:kern w:val="0"/>
        </w:rPr>
        <w:t>2020</w:t>
      </w:r>
      <w:r>
        <w:rPr>
          <w:kern w:val="0"/>
        </w:rPr>
        <w:t>〕</w:t>
      </w:r>
      <w:r>
        <w:rPr>
          <w:kern w:val="0"/>
        </w:rPr>
        <w:t>260</w:t>
      </w:r>
      <w:r>
        <w:rPr>
          <w:kern w:val="0"/>
        </w:rPr>
        <w:t>号）及相关政策规定，对项目开展绩效评价，具体如下：</w:t>
      </w:r>
      <w:bookmarkEnd w:id="20"/>
    </w:p>
    <w:p w:rsidR="00122B6D" w:rsidRDefault="00F01EEF">
      <w:pPr>
        <w:pStyle w:val="a3"/>
        <w:widowControl w:val="0"/>
        <w:adjustRightInd w:val="0"/>
        <w:snapToGrid w:val="0"/>
        <w:spacing w:after="0"/>
        <w:ind w:firstLineChars="200" w:firstLine="640"/>
        <w:rPr>
          <w:rFonts w:eastAsia="方正仿宋_GBK"/>
          <w:kern w:val="0"/>
          <w:szCs w:val="32"/>
        </w:rPr>
      </w:pPr>
      <w:r>
        <w:rPr>
          <w:rFonts w:eastAsia="方正仿宋_GBK" w:hint="eastAsia"/>
          <w:kern w:val="0"/>
          <w:szCs w:val="32"/>
        </w:rPr>
        <w:t>（一）准备阶段。</w:t>
      </w:r>
      <w:r>
        <w:rPr>
          <w:rFonts w:eastAsia="方正仿宋_GBK"/>
          <w:kern w:val="0"/>
          <w:szCs w:val="32"/>
        </w:rPr>
        <w:t>成立评价工作组，系统梳理绩效目标、设计绩效评价指标。绩效评价指标主要从决策、过程、产出</w:t>
      </w:r>
      <w:r>
        <w:rPr>
          <w:rFonts w:eastAsia="方正仿宋_GBK" w:hint="eastAsia"/>
          <w:kern w:val="0"/>
          <w:szCs w:val="32"/>
        </w:rPr>
        <w:t>、</w:t>
      </w:r>
      <w:r>
        <w:rPr>
          <w:rFonts w:eastAsia="方正仿宋_GBK"/>
          <w:kern w:val="0"/>
          <w:szCs w:val="32"/>
        </w:rPr>
        <w:t>效益</w:t>
      </w:r>
      <w:r>
        <w:rPr>
          <w:rFonts w:eastAsia="方正仿宋_GBK" w:hint="eastAsia"/>
          <w:kern w:val="0"/>
          <w:szCs w:val="32"/>
        </w:rPr>
        <w:t>及满意度五</w:t>
      </w:r>
      <w:r>
        <w:rPr>
          <w:rFonts w:eastAsia="方正仿宋_GBK"/>
          <w:kern w:val="0"/>
          <w:szCs w:val="32"/>
        </w:rPr>
        <w:t>个方面来设计。</w:t>
      </w:r>
    </w:p>
    <w:p w:rsidR="00122B6D" w:rsidRDefault="00F01EEF">
      <w:pPr>
        <w:ind w:firstLineChars="200" w:firstLine="640"/>
        <w:rPr>
          <w:kern w:val="0"/>
        </w:rPr>
      </w:pPr>
      <w:r>
        <w:rPr>
          <w:rFonts w:hint="eastAsia"/>
          <w:kern w:val="0"/>
        </w:rPr>
        <w:t>（二）现场核查</w:t>
      </w:r>
      <w:r>
        <w:rPr>
          <w:kern w:val="0"/>
        </w:rPr>
        <w:t>。根据专项资金特点，进行</w:t>
      </w:r>
      <w:r>
        <w:rPr>
          <w:rFonts w:hint="eastAsia"/>
          <w:kern w:val="0"/>
        </w:rPr>
        <w:t>现场</w:t>
      </w:r>
      <w:r>
        <w:rPr>
          <w:kern w:val="0"/>
        </w:rPr>
        <w:t>核查，对各项目的实施进度进行总体评价。</w:t>
      </w:r>
      <w:r>
        <w:rPr>
          <w:rFonts w:hint="eastAsia"/>
          <w:kern w:val="0"/>
        </w:rPr>
        <w:t>成立由</w:t>
      </w:r>
      <w:r>
        <w:rPr>
          <w:rFonts w:eastAsia="仿宋_GB2312"/>
        </w:rPr>
        <w:t>市发改委粮食和物资储备处、粮食和物资科技建设处、评估督查和审计处、派驻市发改委纪检监察组及市储备粮油管理有限公司相关人员</w:t>
      </w:r>
      <w:r>
        <w:rPr>
          <w:rFonts w:eastAsia="仿宋_GB2312" w:hint="eastAsia"/>
        </w:rPr>
        <w:t>组成的核查组</w:t>
      </w:r>
      <w:r>
        <w:rPr>
          <w:rFonts w:eastAsia="仿宋_GB2312"/>
        </w:rPr>
        <w:t>。</w:t>
      </w:r>
      <w:r>
        <w:rPr>
          <w:rFonts w:eastAsia="仿宋_GB2312"/>
        </w:rPr>
        <w:lastRenderedPageBreak/>
        <w:t>共抽取原粮储备企业</w:t>
      </w:r>
      <w:r>
        <w:rPr>
          <w:rFonts w:eastAsia="仿宋_GB2312"/>
        </w:rPr>
        <w:t>2</w:t>
      </w:r>
      <w:r>
        <w:rPr>
          <w:rFonts w:eastAsia="仿宋_GB2312"/>
        </w:rPr>
        <w:t>家、成品粮储备企业</w:t>
      </w:r>
      <w:r>
        <w:rPr>
          <w:rFonts w:eastAsia="仿宋_GB2312"/>
        </w:rPr>
        <w:t>5</w:t>
      </w:r>
      <w:r>
        <w:rPr>
          <w:rFonts w:eastAsia="仿宋_GB2312"/>
        </w:rPr>
        <w:t>家。每家承储企业选取</w:t>
      </w:r>
      <w:r>
        <w:rPr>
          <w:rFonts w:eastAsia="仿宋_GB2312"/>
        </w:rPr>
        <w:t>1</w:t>
      </w:r>
      <w:r>
        <w:rPr>
          <w:rFonts w:eastAsia="仿宋_GB2312"/>
        </w:rPr>
        <w:t>个库点，现场抽查</w:t>
      </w:r>
      <w:r>
        <w:rPr>
          <w:rFonts w:eastAsia="仿宋_GB2312"/>
        </w:rPr>
        <w:t>1</w:t>
      </w:r>
      <w:r>
        <w:rPr>
          <w:rFonts w:eastAsia="仿宋_GB2312"/>
        </w:rPr>
        <w:t>个仓，查看仓库储粮及相关项目建设情况，并对库点的储存台账、轮换台账进行抽查。</w:t>
      </w:r>
    </w:p>
    <w:p w:rsidR="00122B6D" w:rsidRDefault="00F01EEF">
      <w:pPr>
        <w:widowControl w:val="0"/>
        <w:adjustRightInd w:val="0"/>
        <w:snapToGrid w:val="0"/>
        <w:ind w:firstLineChars="200" w:firstLine="640"/>
        <w:jc w:val="left"/>
        <w:outlineLvl w:val="1"/>
        <w:rPr>
          <w:kern w:val="0"/>
        </w:rPr>
      </w:pPr>
      <w:bookmarkStart w:id="21" w:name="_Toc1345"/>
      <w:r>
        <w:rPr>
          <w:kern w:val="0"/>
        </w:rPr>
        <w:t>（三）报告阶段</w:t>
      </w:r>
      <w:r>
        <w:rPr>
          <w:rFonts w:hint="eastAsia"/>
          <w:kern w:val="0"/>
        </w:rPr>
        <w:t>。</w:t>
      </w:r>
      <w:bookmarkEnd w:id="21"/>
      <w:r>
        <w:rPr>
          <w:kern w:val="0"/>
        </w:rPr>
        <w:t>汇总分析评价数据，依据制订的评价标准和打分规则，对项目投入产出绩效进行量化打分。依据政策制定和执行情况，资金分配和使用，以及投入产出</w:t>
      </w:r>
      <w:r>
        <w:rPr>
          <w:kern w:val="0"/>
        </w:rPr>
        <w:t>绩效，撰写绩效评价报告，针对存在问题提出改进建议</w:t>
      </w:r>
      <w:r>
        <w:rPr>
          <w:rFonts w:hint="eastAsia"/>
          <w:kern w:val="0"/>
        </w:rPr>
        <w:t>。</w:t>
      </w:r>
    </w:p>
    <w:p w:rsidR="00122B6D" w:rsidRDefault="00122B6D">
      <w:pPr>
        <w:pStyle w:val="a3"/>
        <w:widowControl w:val="0"/>
        <w:adjustRightInd w:val="0"/>
        <w:snapToGrid w:val="0"/>
        <w:spacing w:after="0"/>
        <w:ind w:firstLineChars="200" w:firstLine="640"/>
        <w:rPr>
          <w:rFonts w:eastAsia="方正仿宋_GBK"/>
          <w:kern w:val="0"/>
          <w:szCs w:val="32"/>
        </w:rPr>
        <w:sectPr w:rsidR="00122B6D">
          <w:footerReference w:type="default" r:id="rId8"/>
          <w:pgSz w:w="11906" w:h="16838"/>
          <w:pgMar w:top="1984" w:right="1474" w:bottom="1984" w:left="1587" w:header="851" w:footer="992" w:gutter="0"/>
          <w:pgNumType w:start="1"/>
          <w:cols w:space="720"/>
          <w:docGrid w:type="lines" w:linePitch="435"/>
        </w:sectPr>
      </w:pPr>
    </w:p>
    <w:p w:rsidR="00122B6D" w:rsidRDefault="00F01EEF">
      <w:pPr>
        <w:widowControl w:val="0"/>
        <w:adjustRightInd w:val="0"/>
        <w:snapToGrid w:val="0"/>
        <w:ind w:firstLineChars="200" w:firstLine="640"/>
        <w:outlineLvl w:val="0"/>
        <w:rPr>
          <w:rFonts w:eastAsia="方正黑体_GBK"/>
        </w:rPr>
      </w:pPr>
      <w:bookmarkStart w:id="22" w:name="_Toc4464"/>
      <w:bookmarkStart w:id="23" w:name="_Toc31673"/>
      <w:r>
        <w:rPr>
          <w:rFonts w:eastAsia="方正黑体_GBK" w:hint="eastAsia"/>
        </w:rPr>
        <w:lastRenderedPageBreak/>
        <w:t>附件</w:t>
      </w:r>
      <w:r>
        <w:rPr>
          <w:rFonts w:eastAsia="方正黑体_GBK" w:hint="eastAsia"/>
        </w:rPr>
        <w:t>1</w:t>
      </w:r>
      <w:r>
        <w:rPr>
          <w:rFonts w:eastAsia="方正黑体_GBK" w:hint="eastAsia"/>
        </w:rPr>
        <w:t>：</w:t>
      </w:r>
      <w:r>
        <w:rPr>
          <w:rFonts w:eastAsia="方正黑体_GBK" w:hint="eastAsia"/>
        </w:rPr>
        <w:t>2025</w:t>
      </w:r>
      <w:r>
        <w:rPr>
          <w:rFonts w:eastAsia="方正黑体_GBK" w:hint="eastAsia"/>
        </w:rPr>
        <w:t>年</w:t>
      </w:r>
      <w:r>
        <w:rPr>
          <w:rFonts w:eastAsia="方正黑体_GBK"/>
        </w:rPr>
        <w:t>度粮食专项补助资金项目绩效评价指标评分表</w:t>
      </w:r>
      <w:bookmarkEnd w:id="22"/>
      <w:bookmarkEnd w:id="23"/>
    </w:p>
    <w:tbl>
      <w:tblPr>
        <w:tblW w:w="14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652"/>
        <w:gridCol w:w="1142"/>
        <w:gridCol w:w="697"/>
        <w:gridCol w:w="747"/>
        <w:gridCol w:w="5011"/>
        <w:gridCol w:w="3737"/>
        <w:gridCol w:w="768"/>
        <w:gridCol w:w="1333"/>
      </w:tblGrid>
      <w:tr w:rsidR="00122B6D">
        <w:trPr>
          <w:trHeight w:val="565"/>
          <w:tblHeader/>
          <w:jc w:val="center"/>
        </w:trPr>
        <w:tc>
          <w:tcPr>
            <w:tcW w:w="700"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kern w:val="0"/>
                <w:sz w:val="21"/>
                <w:szCs w:val="21"/>
              </w:rPr>
            </w:pPr>
            <w:r>
              <w:rPr>
                <w:rFonts w:ascii="仿宋" w:eastAsia="仿宋" w:hAnsi="仿宋" w:cs="仿宋" w:hint="eastAsia"/>
                <w:b/>
                <w:bCs/>
                <w:kern w:val="0"/>
                <w:sz w:val="21"/>
                <w:szCs w:val="21"/>
              </w:rPr>
              <w:t>一级</w:t>
            </w:r>
          </w:p>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kern w:val="0"/>
                <w:sz w:val="21"/>
                <w:szCs w:val="21"/>
              </w:rPr>
              <w:t>指标</w:t>
            </w:r>
          </w:p>
        </w:tc>
        <w:tc>
          <w:tcPr>
            <w:tcW w:w="65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kern w:val="0"/>
                <w:sz w:val="21"/>
                <w:szCs w:val="21"/>
              </w:rPr>
            </w:pPr>
            <w:r>
              <w:rPr>
                <w:rFonts w:ascii="仿宋" w:eastAsia="仿宋" w:hAnsi="仿宋" w:cs="仿宋" w:hint="eastAsia"/>
                <w:b/>
                <w:bCs/>
                <w:kern w:val="0"/>
                <w:sz w:val="21"/>
                <w:szCs w:val="21"/>
              </w:rPr>
              <w:t>二级</w:t>
            </w:r>
          </w:p>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kern w:val="0"/>
                <w:sz w:val="21"/>
                <w:szCs w:val="21"/>
              </w:rPr>
              <w:t>指标</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kern w:val="0"/>
                <w:sz w:val="21"/>
                <w:szCs w:val="21"/>
              </w:rPr>
            </w:pPr>
            <w:r>
              <w:rPr>
                <w:rFonts w:ascii="仿宋" w:eastAsia="仿宋" w:hAnsi="仿宋" w:cs="仿宋" w:hint="eastAsia"/>
                <w:b/>
                <w:bCs/>
                <w:kern w:val="0"/>
                <w:sz w:val="21"/>
                <w:szCs w:val="21"/>
              </w:rPr>
              <w:t>三级</w:t>
            </w:r>
          </w:p>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kern w:val="0"/>
                <w:sz w:val="21"/>
                <w:szCs w:val="21"/>
              </w:rPr>
              <w:t>指标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kern w:val="0"/>
                <w:sz w:val="21"/>
                <w:szCs w:val="21"/>
              </w:rPr>
            </w:pPr>
            <w:r>
              <w:rPr>
                <w:rFonts w:ascii="仿宋" w:eastAsia="仿宋" w:hAnsi="仿宋" w:cs="仿宋" w:hint="eastAsia"/>
                <w:b/>
                <w:bCs/>
                <w:kern w:val="0"/>
                <w:sz w:val="21"/>
                <w:szCs w:val="21"/>
              </w:rPr>
              <w:t>标准值</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kern w:val="0"/>
                <w:sz w:val="21"/>
                <w:szCs w:val="21"/>
              </w:rPr>
              <w:t>分值</w:t>
            </w:r>
          </w:p>
        </w:tc>
        <w:tc>
          <w:tcPr>
            <w:tcW w:w="5011"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kern w:val="0"/>
                <w:sz w:val="21"/>
                <w:szCs w:val="21"/>
              </w:rPr>
              <w:t>指标解释和评价要点</w:t>
            </w:r>
          </w:p>
        </w:tc>
        <w:tc>
          <w:tcPr>
            <w:tcW w:w="373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kern w:val="0"/>
                <w:sz w:val="21"/>
                <w:szCs w:val="21"/>
              </w:rPr>
              <w:t>评价标准</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kern w:val="0"/>
                <w:sz w:val="21"/>
                <w:szCs w:val="21"/>
              </w:rPr>
            </w:pPr>
            <w:r>
              <w:rPr>
                <w:rFonts w:ascii="仿宋" w:eastAsia="仿宋" w:hAnsi="仿宋" w:cs="仿宋" w:hint="eastAsia"/>
                <w:b/>
                <w:bCs/>
                <w:kern w:val="0"/>
                <w:sz w:val="21"/>
                <w:szCs w:val="21"/>
              </w:rPr>
              <w:t>得分</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kern w:val="0"/>
                <w:sz w:val="21"/>
                <w:szCs w:val="21"/>
              </w:rPr>
            </w:pPr>
            <w:r>
              <w:rPr>
                <w:rFonts w:ascii="仿宋" w:eastAsia="仿宋" w:hAnsi="仿宋" w:cs="仿宋" w:hint="eastAsia"/>
                <w:b/>
                <w:bCs/>
                <w:kern w:val="0"/>
                <w:sz w:val="21"/>
                <w:szCs w:val="21"/>
              </w:rPr>
              <w:t>扣分项分析</w:t>
            </w:r>
          </w:p>
        </w:tc>
      </w:tr>
      <w:tr w:rsidR="00122B6D">
        <w:trPr>
          <w:trHeight w:val="3672"/>
          <w:jc w:val="center"/>
        </w:trPr>
        <w:tc>
          <w:tcPr>
            <w:tcW w:w="700"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ascii="仿宋" w:eastAsia="仿宋" w:hAnsi="仿宋" w:cs="仿宋" w:hint="eastAsia"/>
                <w:kern w:val="0"/>
                <w:sz w:val="21"/>
                <w:szCs w:val="21"/>
              </w:rPr>
              <w:t>决策（</w:t>
            </w:r>
            <w:r>
              <w:rPr>
                <w:rFonts w:eastAsia="仿宋" w:cs="仿宋" w:hint="eastAsia"/>
                <w:kern w:val="0"/>
                <w:sz w:val="21"/>
                <w:szCs w:val="21"/>
              </w:rPr>
              <w:t>15</w:t>
            </w:r>
            <w:r>
              <w:rPr>
                <w:rFonts w:ascii="仿宋" w:eastAsia="仿宋" w:hAnsi="仿宋" w:cs="仿宋" w:hint="eastAsia"/>
                <w:kern w:val="0"/>
                <w:sz w:val="21"/>
                <w:szCs w:val="21"/>
              </w:rPr>
              <w:t>分）</w:t>
            </w:r>
          </w:p>
        </w:tc>
        <w:tc>
          <w:tcPr>
            <w:tcW w:w="652"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eastAsia="仿宋" w:cs="仿宋" w:hint="eastAsia"/>
                <w:kern w:val="0"/>
                <w:sz w:val="20"/>
                <w:szCs w:val="20"/>
              </w:rPr>
              <w:t>1</w:t>
            </w:r>
            <w:r>
              <w:rPr>
                <w:rFonts w:ascii="仿宋" w:eastAsia="仿宋" w:hAnsi="仿宋" w:cs="仿宋" w:hint="eastAsia"/>
                <w:kern w:val="0"/>
                <w:sz w:val="21"/>
                <w:szCs w:val="21"/>
              </w:rPr>
              <w:t>项目立项</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eastAsia="仿宋" w:cs="仿宋" w:hint="eastAsia"/>
                <w:kern w:val="0"/>
                <w:sz w:val="20"/>
                <w:szCs w:val="20"/>
              </w:rPr>
              <w:t>11</w:t>
            </w:r>
            <w:r>
              <w:rPr>
                <w:rFonts w:ascii="仿宋" w:eastAsia="仿宋" w:hAnsi="仿宋" w:cs="仿宋" w:hint="eastAsia"/>
                <w:kern w:val="0"/>
                <w:sz w:val="21"/>
                <w:szCs w:val="21"/>
              </w:rPr>
              <w:t>立项依据充分性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充分</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2</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项目立项是否符合法律法规、相关政策、发展规划、部门职责以及党中央、国务院重大决策部署、经济社会发展目标、地方各级党委和政府重点任务要求，用以反映和考核项目立项依据情况。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①项目立项是否符合国家法律法规、国民经济发展规划、行业发展规划以及相关政策要求；</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②项目立项是否符合党中央、国务院重大决策部署、经济社会发展目标、地方各级党委和政府重点任务要求；</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③项目立项是否与部门职责范围相符，属于部门履职所需；</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④项目是否属于公共财政支持范围，是否符合中央、地方事权支出责任划分原则；</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sz w:val="21"/>
                <w:szCs w:val="21"/>
              </w:rPr>
              <w:t>⑤项目是否与相关部门同类项目或部门内部相关项目重复。</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评价要点①</w:t>
            </w:r>
            <w:r>
              <w:rPr>
                <w:rFonts w:ascii="仿宋" w:eastAsia="仿宋" w:hAnsi="仿宋" w:cs="仿宋" w:hint="eastAsia"/>
                <w:kern w:val="0"/>
                <w:sz w:val="21"/>
                <w:szCs w:val="21"/>
              </w:rPr>
              <w:t>-</w:t>
            </w:r>
            <w:r>
              <w:rPr>
                <w:rFonts w:ascii="仿宋" w:eastAsia="仿宋" w:hAnsi="仿宋" w:cs="仿宋" w:hint="eastAsia"/>
                <w:kern w:val="0"/>
                <w:sz w:val="21"/>
                <w:szCs w:val="21"/>
              </w:rPr>
              <w:t>④标准分各</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4</w:t>
            </w:r>
            <w:r>
              <w:rPr>
                <w:rFonts w:ascii="仿宋" w:eastAsia="仿宋" w:hAnsi="仿宋" w:cs="仿宋" w:hint="eastAsia"/>
                <w:kern w:val="0"/>
                <w:sz w:val="21"/>
                <w:szCs w:val="21"/>
              </w:rPr>
              <w:t>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符合评价要点要求的，得分</w:t>
            </w:r>
            <w:r>
              <w:rPr>
                <w:rFonts w:ascii="仿宋" w:eastAsia="仿宋" w:hAnsi="仿宋" w:cs="仿宋" w:hint="eastAsia"/>
                <w:kern w:val="0"/>
                <w:sz w:val="21"/>
                <w:szCs w:val="21"/>
              </w:rPr>
              <w:t>=[0.8,1]*</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较符合评价要点要求的，得分</w:t>
            </w:r>
            <w:r>
              <w:rPr>
                <w:rFonts w:ascii="仿宋" w:eastAsia="仿宋" w:hAnsi="仿宋" w:cs="仿宋" w:hint="eastAsia"/>
                <w:kern w:val="0"/>
                <w:sz w:val="21"/>
                <w:szCs w:val="21"/>
              </w:rPr>
              <w:t>=[0.6,0.8)*</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与评价要点符合程度一般的，得分</w:t>
            </w:r>
            <w:r>
              <w:rPr>
                <w:rFonts w:ascii="仿宋" w:eastAsia="仿宋" w:hAnsi="仿宋" w:cs="仿宋" w:hint="eastAsia"/>
                <w:kern w:val="0"/>
                <w:sz w:val="21"/>
                <w:szCs w:val="21"/>
              </w:rPr>
              <w:t>=[0,0.6)*</w:t>
            </w:r>
            <w:r>
              <w:rPr>
                <w:rFonts w:ascii="仿宋" w:eastAsia="仿宋" w:hAnsi="仿宋" w:cs="仿宋" w:hint="eastAsia"/>
                <w:kern w:val="0"/>
                <w:sz w:val="21"/>
                <w:szCs w:val="21"/>
              </w:rPr>
              <w:t>标准分。评价要点⑤标准分</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4</w:t>
            </w:r>
            <w:r>
              <w:rPr>
                <w:rFonts w:ascii="仿宋" w:eastAsia="仿宋" w:hAnsi="仿宋" w:cs="仿宋" w:hint="eastAsia"/>
                <w:kern w:val="0"/>
                <w:sz w:val="21"/>
                <w:szCs w:val="21"/>
              </w:rPr>
              <w:t>分，项目与相关部门同类项目或部门内部相关项目无重复无交叉重叠，得</w:t>
            </w:r>
            <w:r>
              <w:rPr>
                <w:rFonts w:eastAsia="仿宋" w:cs="仿宋" w:hint="eastAsia"/>
                <w:kern w:val="0"/>
                <w:sz w:val="21"/>
                <w:szCs w:val="21"/>
              </w:rPr>
              <w:t>1</w:t>
            </w:r>
            <w:r>
              <w:rPr>
                <w:rFonts w:ascii="仿宋" w:eastAsia="仿宋" w:hAnsi="仿宋" w:cs="仿宋" w:hint="eastAsia"/>
                <w:kern w:val="0"/>
                <w:sz w:val="21"/>
                <w:szCs w:val="21"/>
              </w:rPr>
              <w:t>分，否则不得分。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2</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2308"/>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eastAsia="仿宋" w:cs="仿宋" w:hint="eastAsia"/>
                <w:kern w:val="0"/>
                <w:sz w:val="20"/>
                <w:szCs w:val="20"/>
              </w:rPr>
              <w:t>12</w:t>
            </w:r>
            <w:r>
              <w:rPr>
                <w:rFonts w:ascii="仿宋" w:eastAsia="仿宋" w:hAnsi="仿宋" w:cs="仿宋" w:hint="eastAsia"/>
                <w:kern w:val="0"/>
                <w:sz w:val="21"/>
                <w:szCs w:val="21"/>
              </w:rPr>
              <w:t>立项程序规范性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规范</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2</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项目申请、设立过程是否符合相关要求，用以反映和考核项目立项的规范情况。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①项目是否按照规定的程序申请设立，是否已经过必要的可行性研究、专家论证、风险评估、绩效评估、集体决策；</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sz w:val="21"/>
                <w:szCs w:val="21"/>
              </w:rPr>
              <w:t>②审批文件、材料是否符合相关要求。</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评价要点①②标准分各</w:t>
            </w:r>
            <w:r>
              <w:rPr>
                <w:rFonts w:eastAsia="仿宋" w:cs="仿宋" w:hint="eastAsia"/>
                <w:kern w:val="0"/>
                <w:sz w:val="21"/>
                <w:szCs w:val="21"/>
              </w:rPr>
              <w:t>1</w:t>
            </w:r>
            <w:r>
              <w:rPr>
                <w:rFonts w:ascii="仿宋" w:eastAsia="仿宋" w:hAnsi="仿宋" w:cs="仿宋" w:hint="eastAsia"/>
                <w:kern w:val="0"/>
                <w:sz w:val="21"/>
                <w:szCs w:val="21"/>
              </w:rPr>
              <w:t>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符合评价要点要求的，得分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8</w:t>
            </w:r>
            <w:r>
              <w:rPr>
                <w:rFonts w:ascii="仿宋" w:eastAsia="仿宋" w:hAnsi="仿宋" w:cs="仿宋" w:hint="eastAsia"/>
                <w:kern w:val="0"/>
                <w:sz w:val="21"/>
                <w:szCs w:val="21"/>
              </w:rPr>
              <w:t>,</w:t>
            </w:r>
            <w:r>
              <w:rPr>
                <w:rFonts w:eastAsia="仿宋" w:cs="仿宋" w:hint="eastAsia"/>
                <w:kern w:val="0"/>
                <w:sz w:val="21"/>
                <w:szCs w:val="21"/>
              </w:rPr>
              <w:t>1</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较符合评价要点要求的，得分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6</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8</w:t>
            </w:r>
            <w:r>
              <w:rPr>
                <w:rFonts w:ascii="仿宋" w:eastAsia="仿宋" w:hAnsi="仿宋" w:cs="仿宋" w:hint="eastAsia"/>
                <w:kern w:val="0"/>
                <w:sz w:val="20"/>
                <w:szCs w:val="20"/>
              </w:rPr>
              <w:t>)</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与评价要点符合程度一般的，得分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6</w:t>
            </w:r>
            <w:r>
              <w:rPr>
                <w:rFonts w:ascii="仿宋" w:eastAsia="仿宋" w:hAnsi="仿宋" w:cs="仿宋" w:hint="eastAsia"/>
                <w:kern w:val="0"/>
                <w:sz w:val="20"/>
                <w:szCs w:val="20"/>
              </w:rPr>
              <w:t>)</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2</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90"/>
          <w:jc w:val="center"/>
        </w:trPr>
        <w:tc>
          <w:tcPr>
            <w:tcW w:w="700"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lastRenderedPageBreak/>
              <w:t>续上页</w:t>
            </w:r>
          </w:p>
        </w:tc>
        <w:tc>
          <w:tcPr>
            <w:tcW w:w="652"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eastAsia="仿宋" w:cs="仿宋" w:hint="eastAsia"/>
                <w:kern w:val="0"/>
                <w:sz w:val="20"/>
                <w:szCs w:val="20"/>
              </w:rPr>
              <w:t>2</w:t>
            </w:r>
            <w:r>
              <w:rPr>
                <w:rFonts w:ascii="仿宋" w:eastAsia="仿宋" w:hAnsi="仿宋" w:cs="仿宋" w:hint="eastAsia"/>
                <w:kern w:val="0"/>
                <w:sz w:val="21"/>
                <w:szCs w:val="21"/>
              </w:rPr>
              <w:t>绩效目标</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eastAsia="仿宋" w:cs="仿宋" w:hint="eastAsia"/>
                <w:kern w:val="0"/>
                <w:sz w:val="20"/>
                <w:szCs w:val="20"/>
              </w:rPr>
              <w:t>21</w:t>
            </w:r>
            <w:r>
              <w:rPr>
                <w:rFonts w:ascii="仿宋" w:eastAsia="仿宋" w:hAnsi="仿宋" w:cs="仿宋" w:hint="eastAsia"/>
                <w:kern w:val="0"/>
                <w:sz w:val="21"/>
                <w:szCs w:val="21"/>
              </w:rPr>
              <w:t>绩效目标合理性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合理</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项目所设定的绩效目标是否依据充分，是否符合客观实际，用以反映和考核项目绩效目标与项目实施的相符情况。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①项目是否有绩效目标；</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②项目绩效目标与实际工作内容是否具有相关性；</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③项目预期产出和效果是否符合正常的业绩水平；</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sz w:val="21"/>
                <w:szCs w:val="21"/>
              </w:rPr>
              <w:t>④是否与预算确定的项目投资额或资金量相匹配。</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评价要点①为该指标的否定性要点，若项目立项时未设定绩效目标或可考核的其他工作任务目标，则本条指标不得分；若项目设定了绩效目标或可考核的其他工作任务目标，则按照评价要点②</w:t>
            </w:r>
            <w:r>
              <w:rPr>
                <w:rFonts w:ascii="仿宋" w:eastAsia="仿宋" w:hAnsi="仿宋" w:cs="仿宋" w:hint="eastAsia"/>
                <w:kern w:val="0"/>
                <w:sz w:val="21"/>
                <w:szCs w:val="21"/>
              </w:rPr>
              <w:t>-</w:t>
            </w:r>
            <w:r>
              <w:rPr>
                <w:rFonts w:ascii="仿宋" w:eastAsia="仿宋" w:hAnsi="仿宋" w:cs="仿宋" w:hint="eastAsia"/>
                <w:kern w:val="0"/>
                <w:sz w:val="21"/>
                <w:szCs w:val="21"/>
              </w:rPr>
              <w:t>④的得分情况确定该指标得分。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评价要点②</w:t>
            </w:r>
            <w:r>
              <w:rPr>
                <w:rFonts w:ascii="仿宋" w:eastAsia="仿宋" w:hAnsi="仿宋" w:cs="仿宋" w:hint="eastAsia"/>
                <w:kern w:val="0"/>
                <w:sz w:val="21"/>
                <w:szCs w:val="21"/>
              </w:rPr>
              <w:t>-</w:t>
            </w:r>
            <w:r>
              <w:rPr>
                <w:rFonts w:ascii="仿宋" w:eastAsia="仿宋" w:hAnsi="仿宋" w:cs="仿宋" w:hint="eastAsia"/>
                <w:kern w:val="0"/>
                <w:sz w:val="21"/>
                <w:szCs w:val="21"/>
              </w:rPr>
              <w:t>④标准分各</w:t>
            </w:r>
            <w:r>
              <w:rPr>
                <w:rFonts w:eastAsia="仿宋" w:cs="仿宋" w:hint="eastAsia"/>
                <w:kern w:val="0"/>
                <w:sz w:val="21"/>
                <w:szCs w:val="21"/>
              </w:rPr>
              <w:t>1</w:t>
            </w:r>
            <w:r>
              <w:rPr>
                <w:rFonts w:ascii="仿宋" w:eastAsia="仿宋" w:hAnsi="仿宋" w:cs="仿宋" w:hint="eastAsia"/>
                <w:kern w:val="0"/>
                <w:sz w:val="21"/>
                <w:szCs w:val="21"/>
              </w:rPr>
              <w:t>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符合评价要点要求的，得分</w:t>
            </w:r>
            <w:r>
              <w:rPr>
                <w:rFonts w:ascii="仿宋" w:eastAsia="仿宋" w:hAnsi="仿宋" w:cs="仿宋" w:hint="eastAsia"/>
                <w:kern w:val="0"/>
                <w:sz w:val="21"/>
                <w:szCs w:val="21"/>
              </w:rPr>
              <w:t>=[0.8,1]*</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较符合评价要点要求的，得分</w:t>
            </w:r>
            <w:r>
              <w:rPr>
                <w:rFonts w:ascii="仿宋" w:eastAsia="仿宋" w:hAnsi="仿宋" w:cs="仿宋" w:hint="eastAsia"/>
                <w:kern w:val="0"/>
                <w:sz w:val="21"/>
                <w:szCs w:val="21"/>
              </w:rPr>
              <w:t>=[0.6,0.8)*</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与评价要点符合程度一般的，得分</w:t>
            </w:r>
            <w:r>
              <w:rPr>
                <w:rFonts w:ascii="仿宋" w:eastAsia="仿宋" w:hAnsi="仿宋" w:cs="仿宋" w:hint="eastAsia"/>
                <w:kern w:val="0"/>
                <w:sz w:val="21"/>
                <w:szCs w:val="21"/>
              </w:rPr>
              <w:t>=[0,0.6)*</w:t>
            </w:r>
            <w:r>
              <w:rPr>
                <w:rFonts w:ascii="仿宋" w:eastAsia="仿宋" w:hAnsi="仿宋" w:cs="仿宋" w:hint="eastAsia"/>
                <w:kern w:val="0"/>
                <w:sz w:val="21"/>
                <w:szCs w:val="21"/>
              </w:rPr>
              <w:t>标准分。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90"/>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color w:val="FF0000"/>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color w:val="FF0000"/>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eastAsia="仿宋" w:cs="仿宋" w:hint="eastAsia"/>
                <w:kern w:val="0"/>
                <w:sz w:val="20"/>
                <w:szCs w:val="20"/>
              </w:rPr>
              <w:t>22</w:t>
            </w:r>
            <w:r>
              <w:rPr>
                <w:rFonts w:ascii="仿宋" w:eastAsia="仿宋" w:hAnsi="仿宋" w:cs="仿宋" w:hint="eastAsia"/>
                <w:kern w:val="0"/>
                <w:sz w:val="21"/>
                <w:szCs w:val="21"/>
              </w:rPr>
              <w:t>绩效指标明确性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明确</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依据绩效目标设定的绩效指标是否清晰、细化、可衡量等，用以反映和考核项目绩效目标的明细化情况。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①是否将项目绩效目标细化分解为具体的绩效指标；</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②是否通过清晰、可衡量的指标值予以体现；</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sz w:val="21"/>
                <w:szCs w:val="21"/>
              </w:rPr>
              <w:t>③指标设置是否全面，是否与项目目标任务数或计划数相对应。</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评价要点①为该指标的否定性要点，若项目未将绩效目标细化分解为具体的绩效指标，则本条指标不得分；若项目将绩效目标细化分解为具体的绩效指标，则按照评分要点②③的得分情况确定该指标得分。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评价要点②③标准分各</w:t>
            </w:r>
            <w:r>
              <w:rPr>
                <w:rFonts w:eastAsia="仿宋" w:cs="仿宋" w:hint="eastAsia"/>
                <w:kern w:val="0"/>
                <w:sz w:val="21"/>
                <w:szCs w:val="21"/>
              </w:rPr>
              <w:t>1.5</w:t>
            </w:r>
            <w:r>
              <w:rPr>
                <w:rFonts w:ascii="仿宋" w:eastAsia="仿宋" w:hAnsi="仿宋" w:cs="仿宋" w:hint="eastAsia"/>
                <w:kern w:val="0"/>
                <w:sz w:val="21"/>
                <w:szCs w:val="21"/>
              </w:rPr>
              <w:t>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符合评价要点要求的，得分</w:t>
            </w:r>
            <w:r>
              <w:rPr>
                <w:rFonts w:ascii="仿宋" w:eastAsia="仿宋" w:hAnsi="仿宋" w:cs="仿宋" w:hint="eastAsia"/>
                <w:kern w:val="0"/>
                <w:sz w:val="21"/>
                <w:szCs w:val="21"/>
              </w:rPr>
              <w:t>=[0.8,1]*</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较符合评价要点要求的，得分</w:t>
            </w:r>
            <w:r>
              <w:rPr>
                <w:rFonts w:ascii="仿宋" w:eastAsia="仿宋" w:hAnsi="仿宋" w:cs="仿宋" w:hint="eastAsia"/>
                <w:kern w:val="0"/>
                <w:sz w:val="21"/>
                <w:szCs w:val="21"/>
              </w:rPr>
              <w:t>=[0.6,0.8)*</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与评价要点符合程度一般的，得分</w:t>
            </w:r>
            <w:r>
              <w:rPr>
                <w:rFonts w:ascii="仿宋" w:eastAsia="仿宋" w:hAnsi="仿宋" w:cs="仿宋" w:hint="eastAsia"/>
                <w:kern w:val="0"/>
                <w:sz w:val="21"/>
                <w:szCs w:val="21"/>
              </w:rPr>
              <w:t>=[0,0.6)*</w:t>
            </w:r>
            <w:r>
              <w:rPr>
                <w:rFonts w:ascii="仿宋" w:eastAsia="仿宋" w:hAnsi="仿宋" w:cs="仿宋" w:hint="eastAsia"/>
                <w:kern w:val="0"/>
                <w:sz w:val="21"/>
                <w:szCs w:val="21"/>
              </w:rPr>
              <w:t>标准分。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122B6D">
            <w:pPr>
              <w:widowControl w:val="0"/>
              <w:adjustRightInd w:val="0"/>
              <w:snapToGrid w:val="0"/>
              <w:spacing w:line="240" w:lineRule="auto"/>
              <w:textAlignment w:val="center"/>
              <w:rPr>
                <w:rFonts w:ascii="仿宋" w:eastAsia="仿宋" w:hAnsi="仿宋" w:cs="仿宋"/>
                <w:kern w:val="0"/>
                <w:sz w:val="21"/>
                <w:szCs w:val="21"/>
              </w:rPr>
            </w:pPr>
          </w:p>
        </w:tc>
      </w:tr>
      <w:tr w:rsidR="00122B6D">
        <w:trPr>
          <w:trHeight w:val="2070"/>
          <w:jc w:val="center"/>
        </w:trPr>
        <w:tc>
          <w:tcPr>
            <w:tcW w:w="700" w:type="dxa"/>
            <w:vMerge w:val="restart"/>
            <w:tcBorders>
              <w:tl2br w:val="nil"/>
              <w:tr2bl w:val="nil"/>
            </w:tcBorders>
            <w:noWrap/>
            <w:vAlign w:val="center"/>
          </w:tcPr>
          <w:p w:rsidR="00122B6D" w:rsidRDefault="00F01EEF">
            <w:pPr>
              <w:widowControl w:val="0"/>
              <w:adjustRightInd w:val="0"/>
              <w:snapToGrid w:val="0"/>
              <w:spacing w:line="240" w:lineRule="auto"/>
              <w:jc w:val="center"/>
              <w:rPr>
                <w:rFonts w:ascii="仿宋" w:eastAsia="仿宋" w:hAnsi="仿宋" w:cs="仿宋"/>
                <w:sz w:val="21"/>
                <w:szCs w:val="21"/>
              </w:rPr>
            </w:pPr>
            <w:r>
              <w:rPr>
                <w:rFonts w:ascii="仿宋" w:eastAsia="仿宋" w:hAnsi="仿宋" w:cs="仿宋" w:hint="eastAsia"/>
                <w:sz w:val="21"/>
                <w:szCs w:val="21"/>
              </w:rPr>
              <w:lastRenderedPageBreak/>
              <w:t>续上页</w:t>
            </w:r>
          </w:p>
        </w:tc>
        <w:tc>
          <w:tcPr>
            <w:tcW w:w="652"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A</w:t>
            </w:r>
            <w:r>
              <w:rPr>
                <w:rFonts w:eastAsia="仿宋" w:cs="仿宋" w:hint="eastAsia"/>
                <w:kern w:val="0"/>
                <w:sz w:val="21"/>
                <w:szCs w:val="21"/>
              </w:rPr>
              <w:t>3</w:t>
            </w:r>
            <w:r>
              <w:rPr>
                <w:rFonts w:ascii="仿宋" w:eastAsia="仿宋" w:hAnsi="仿宋" w:cs="仿宋" w:hint="eastAsia"/>
                <w:kern w:val="0"/>
                <w:sz w:val="21"/>
                <w:szCs w:val="21"/>
              </w:rPr>
              <w:t>资金</w:t>
            </w:r>
          </w:p>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投入</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eastAsia="仿宋" w:cs="仿宋" w:hint="eastAsia"/>
                <w:kern w:val="0"/>
                <w:sz w:val="20"/>
                <w:szCs w:val="20"/>
              </w:rPr>
              <w:t>31</w:t>
            </w:r>
            <w:r>
              <w:rPr>
                <w:rFonts w:ascii="仿宋" w:eastAsia="仿宋" w:hAnsi="仿宋" w:cs="仿宋" w:hint="eastAsia"/>
                <w:kern w:val="0"/>
                <w:sz w:val="21"/>
                <w:szCs w:val="21"/>
              </w:rPr>
              <w:t>预算编制科学性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科学</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项目预算编制是否经过科学论证、有明确标准，资金额度与年度目标是否相适应，用以反映和考核项目预算编制的科学性、合理性情况。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①预算编制是否依据充分，是否经过科学论证；</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sz w:val="21"/>
                <w:szCs w:val="21"/>
              </w:rPr>
              <w:t>②预算内容与项目内容是否匹配，项目投资额或资金量是否与工作任务相匹配。</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评价要点①、②标准分分别为</w:t>
            </w:r>
            <w:r>
              <w:rPr>
                <w:rFonts w:eastAsia="仿宋" w:cs="仿宋" w:hint="eastAsia"/>
                <w:kern w:val="0"/>
                <w:sz w:val="21"/>
                <w:szCs w:val="21"/>
              </w:rPr>
              <w:t>1</w:t>
            </w:r>
            <w:r>
              <w:rPr>
                <w:rFonts w:ascii="仿宋" w:eastAsia="仿宋" w:hAnsi="仿宋" w:cs="仿宋" w:hint="eastAsia"/>
                <w:kern w:val="0"/>
                <w:sz w:val="21"/>
                <w:szCs w:val="21"/>
              </w:rPr>
              <w:t>.</w:t>
            </w:r>
            <w:r>
              <w:rPr>
                <w:rFonts w:eastAsia="仿宋" w:cs="仿宋" w:hint="eastAsia"/>
                <w:kern w:val="0"/>
                <w:sz w:val="21"/>
                <w:szCs w:val="21"/>
              </w:rPr>
              <w:t>5</w:t>
            </w:r>
            <w:r>
              <w:rPr>
                <w:rFonts w:ascii="仿宋" w:eastAsia="仿宋" w:hAnsi="仿宋" w:cs="仿宋" w:hint="eastAsia"/>
                <w:kern w:val="0"/>
                <w:sz w:val="21"/>
                <w:szCs w:val="21"/>
              </w:rPr>
              <w:t>分、</w:t>
            </w:r>
            <w:r>
              <w:rPr>
                <w:rFonts w:eastAsia="仿宋" w:cs="仿宋" w:hint="eastAsia"/>
                <w:kern w:val="0"/>
                <w:sz w:val="21"/>
                <w:szCs w:val="21"/>
              </w:rPr>
              <w:t>1</w:t>
            </w:r>
            <w:r>
              <w:rPr>
                <w:rFonts w:ascii="仿宋" w:eastAsia="仿宋" w:hAnsi="仿宋" w:cs="仿宋" w:hint="eastAsia"/>
                <w:kern w:val="0"/>
                <w:sz w:val="21"/>
                <w:szCs w:val="21"/>
              </w:rPr>
              <w:t>.</w:t>
            </w:r>
            <w:r>
              <w:rPr>
                <w:rFonts w:eastAsia="仿宋" w:cs="仿宋" w:hint="eastAsia"/>
                <w:kern w:val="0"/>
                <w:sz w:val="21"/>
                <w:szCs w:val="21"/>
              </w:rPr>
              <w:t>5</w:t>
            </w:r>
            <w:r>
              <w:rPr>
                <w:rFonts w:ascii="仿宋" w:eastAsia="仿宋" w:hAnsi="仿宋" w:cs="仿宋" w:hint="eastAsia"/>
                <w:kern w:val="0"/>
                <w:sz w:val="21"/>
                <w:szCs w:val="21"/>
              </w:rPr>
              <w:t>分，各评价要点评分标准为：</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符合评价要点要求的，得分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8</w:t>
            </w:r>
            <w:r>
              <w:rPr>
                <w:rFonts w:ascii="仿宋" w:eastAsia="仿宋" w:hAnsi="仿宋" w:cs="仿宋" w:hint="eastAsia"/>
                <w:kern w:val="0"/>
                <w:sz w:val="21"/>
                <w:szCs w:val="21"/>
              </w:rPr>
              <w:t>,</w:t>
            </w:r>
            <w:r>
              <w:rPr>
                <w:rFonts w:eastAsia="仿宋" w:cs="仿宋" w:hint="eastAsia"/>
                <w:kern w:val="0"/>
                <w:sz w:val="21"/>
                <w:szCs w:val="21"/>
              </w:rPr>
              <w:t>1</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较符合评价要点要求的，得分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6</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8</w:t>
            </w:r>
            <w:r>
              <w:rPr>
                <w:rFonts w:ascii="仿宋" w:eastAsia="仿宋" w:hAnsi="仿宋" w:cs="仿宋" w:hint="eastAsia"/>
                <w:kern w:val="0"/>
                <w:sz w:val="20"/>
                <w:szCs w:val="20"/>
              </w:rPr>
              <w:t>)</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与评价要点符合程度一般的，得分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6</w:t>
            </w:r>
            <w:r>
              <w:rPr>
                <w:rFonts w:ascii="仿宋" w:eastAsia="仿宋" w:hAnsi="仿宋" w:cs="仿宋" w:hint="eastAsia"/>
                <w:kern w:val="0"/>
                <w:sz w:val="20"/>
                <w:szCs w:val="20"/>
              </w:rPr>
              <w:t>)</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1662"/>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A</w:t>
            </w:r>
            <w:r>
              <w:rPr>
                <w:rFonts w:eastAsia="仿宋" w:cs="仿宋" w:hint="eastAsia"/>
                <w:kern w:val="0"/>
                <w:sz w:val="20"/>
                <w:szCs w:val="20"/>
              </w:rPr>
              <w:t>32</w:t>
            </w:r>
            <w:r>
              <w:rPr>
                <w:rFonts w:ascii="仿宋" w:eastAsia="仿宋" w:hAnsi="仿宋" w:cs="仿宋" w:hint="eastAsia"/>
                <w:kern w:val="0"/>
                <w:sz w:val="21"/>
                <w:szCs w:val="21"/>
              </w:rPr>
              <w:t>资金分配合理性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合理</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2</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项目预算资金分配是否有测算依据，与补助单位或地方实际是否相适应，用以反映和考核项目预算资金分配的科学性、合理性情况。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①预算资金分配依据是否充分；</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sz w:val="21"/>
                <w:szCs w:val="21"/>
              </w:rPr>
              <w:t>②资金分配额度是否合理，与项目单位或地方实际是否相适应。</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评价要点①、②标准分分别为</w:t>
            </w:r>
            <w:r>
              <w:rPr>
                <w:rFonts w:eastAsia="仿宋" w:cs="仿宋" w:hint="eastAsia"/>
                <w:kern w:val="0"/>
                <w:sz w:val="21"/>
                <w:szCs w:val="21"/>
              </w:rPr>
              <w:t>1</w:t>
            </w:r>
            <w:r>
              <w:rPr>
                <w:rFonts w:ascii="仿宋" w:eastAsia="仿宋" w:hAnsi="仿宋" w:cs="仿宋" w:hint="eastAsia"/>
                <w:kern w:val="0"/>
                <w:sz w:val="21"/>
                <w:szCs w:val="21"/>
              </w:rPr>
              <w:t>分，各评价要点的评分标准为：符合评价要点要求的，得分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8</w:t>
            </w:r>
            <w:r>
              <w:rPr>
                <w:rFonts w:ascii="仿宋" w:eastAsia="仿宋" w:hAnsi="仿宋" w:cs="仿宋" w:hint="eastAsia"/>
                <w:kern w:val="0"/>
                <w:sz w:val="21"/>
                <w:szCs w:val="21"/>
              </w:rPr>
              <w:t>,</w:t>
            </w:r>
            <w:r>
              <w:rPr>
                <w:rFonts w:eastAsia="仿宋" w:cs="仿宋" w:hint="eastAsia"/>
                <w:kern w:val="0"/>
                <w:sz w:val="21"/>
                <w:szCs w:val="21"/>
              </w:rPr>
              <w:t>1</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ascii="仿宋" w:eastAsia="仿宋" w:hAnsi="仿宋" w:cs="仿宋" w:hint="eastAsia"/>
                <w:kern w:val="0"/>
                <w:sz w:val="21"/>
                <w:szCs w:val="21"/>
              </w:rPr>
              <w:t>较符合评价要点要求的，得分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6</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8</w:t>
            </w:r>
            <w:r>
              <w:rPr>
                <w:rFonts w:ascii="仿宋" w:eastAsia="仿宋" w:hAnsi="仿宋" w:cs="仿宋" w:hint="eastAsia"/>
                <w:kern w:val="0"/>
                <w:sz w:val="20"/>
                <w:szCs w:val="20"/>
              </w:rPr>
              <w:t>)</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与评价要点符合程度一般的，得分</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0</w:t>
            </w:r>
            <w:r>
              <w:rPr>
                <w:rFonts w:ascii="仿宋" w:eastAsia="仿宋" w:hAnsi="仿宋" w:cs="仿宋" w:hint="eastAsia"/>
                <w:kern w:val="0"/>
                <w:sz w:val="21"/>
                <w:szCs w:val="21"/>
              </w:rPr>
              <w:t>.</w:t>
            </w:r>
            <w:r>
              <w:rPr>
                <w:rFonts w:eastAsia="仿宋" w:cs="仿宋" w:hint="eastAsia"/>
                <w:kern w:val="0"/>
                <w:sz w:val="21"/>
                <w:szCs w:val="21"/>
              </w:rPr>
              <w:t>6</w:t>
            </w:r>
            <w:r>
              <w:rPr>
                <w:rFonts w:ascii="仿宋" w:eastAsia="仿宋" w:hAnsi="仿宋" w:cs="仿宋" w:hint="eastAsia"/>
                <w:kern w:val="0"/>
                <w:sz w:val="20"/>
                <w:szCs w:val="20"/>
              </w:rPr>
              <w:t>)</w:t>
            </w:r>
            <w:r>
              <w:rPr>
                <w:rFonts w:ascii="仿宋" w:eastAsia="仿宋" w:hAnsi="仿宋" w:cs="仿宋" w:hint="eastAsia"/>
                <w:kern w:val="0"/>
                <w:sz w:val="21"/>
                <w:szCs w:val="21"/>
              </w:rPr>
              <w:t>*</w:t>
            </w:r>
            <w:r>
              <w:rPr>
                <w:rFonts w:ascii="仿宋" w:eastAsia="仿宋" w:hAnsi="仿宋" w:cs="仿宋" w:hint="eastAsia"/>
                <w:kern w:val="0"/>
                <w:sz w:val="21"/>
                <w:szCs w:val="21"/>
              </w:rPr>
              <w:t>标准分。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2</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2886"/>
          <w:jc w:val="center"/>
        </w:trPr>
        <w:tc>
          <w:tcPr>
            <w:tcW w:w="700"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B</w:t>
            </w:r>
            <w:r>
              <w:rPr>
                <w:rFonts w:ascii="仿宋" w:eastAsia="仿宋" w:hAnsi="仿宋" w:cs="仿宋" w:hint="eastAsia"/>
                <w:kern w:val="0"/>
                <w:sz w:val="21"/>
                <w:szCs w:val="21"/>
              </w:rPr>
              <w:t>过程（</w:t>
            </w:r>
            <w:r>
              <w:rPr>
                <w:rFonts w:eastAsia="仿宋" w:cs="仿宋" w:hint="eastAsia"/>
                <w:kern w:val="0"/>
                <w:sz w:val="21"/>
                <w:szCs w:val="21"/>
              </w:rPr>
              <w:t>20</w:t>
            </w:r>
            <w:r>
              <w:rPr>
                <w:rFonts w:ascii="仿宋" w:eastAsia="仿宋" w:hAnsi="仿宋" w:cs="仿宋" w:hint="eastAsia"/>
                <w:kern w:val="0"/>
                <w:sz w:val="21"/>
                <w:szCs w:val="21"/>
              </w:rPr>
              <w:t>分）</w:t>
            </w:r>
          </w:p>
        </w:tc>
        <w:tc>
          <w:tcPr>
            <w:tcW w:w="65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B</w:t>
            </w:r>
            <w:r>
              <w:rPr>
                <w:rFonts w:eastAsia="仿宋" w:cs="仿宋" w:hint="eastAsia"/>
                <w:kern w:val="0"/>
                <w:sz w:val="20"/>
                <w:szCs w:val="20"/>
              </w:rPr>
              <w:t>1</w:t>
            </w:r>
            <w:r>
              <w:rPr>
                <w:rFonts w:ascii="仿宋" w:eastAsia="仿宋" w:hAnsi="仿宋" w:cs="仿宋" w:hint="eastAsia"/>
                <w:kern w:val="0"/>
                <w:sz w:val="21"/>
                <w:szCs w:val="21"/>
              </w:rPr>
              <w:t>资金管理</w:t>
            </w:r>
          </w:p>
        </w:tc>
        <w:tc>
          <w:tcPr>
            <w:tcW w:w="1142" w:type="dxa"/>
            <w:tcBorders>
              <w:bottom w:val="single" w:sz="4" w:space="0" w:color="auto"/>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B</w:t>
            </w:r>
            <w:r>
              <w:rPr>
                <w:rFonts w:eastAsia="仿宋" w:cs="仿宋" w:hint="eastAsia"/>
                <w:kern w:val="0"/>
                <w:sz w:val="20"/>
                <w:szCs w:val="20"/>
              </w:rPr>
              <w:t>11</w:t>
            </w:r>
            <w:r>
              <w:rPr>
                <w:rFonts w:ascii="仿宋" w:eastAsia="仿宋" w:hAnsi="仿宋" w:cs="仿宋" w:hint="eastAsia"/>
                <w:kern w:val="0"/>
                <w:sz w:val="21"/>
                <w:szCs w:val="21"/>
              </w:rPr>
              <w:t>资金到位率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100</w:t>
            </w:r>
            <w:r>
              <w:rPr>
                <w:rFonts w:ascii="仿宋" w:eastAsia="仿宋" w:hAnsi="仿宋" w:cs="仿宋" w:hint="eastAsia"/>
                <w:kern w:val="0"/>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5</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实际到位资金与预算资金的比率，用以反映和考核资金落实情况对项目实施的总体保障程度。</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资金到位率</w:t>
            </w:r>
            <w:r>
              <w:rPr>
                <w:rFonts w:ascii="仿宋" w:eastAsia="仿宋" w:hAnsi="仿宋" w:cs="仿宋" w:hint="eastAsia"/>
                <w:sz w:val="21"/>
                <w:szCs w:val="21"/>
              </w:rPr>
              <w:t>=</w:t>
            </w:r>
            <w:r>
              <w:rPr>
                <w:rFonts w:ascii="仿宋" w:eastAsia="仿宋" w:hAnsi="仿宋" w:cs="仿宋" w:hint="eastAsia"/>
                <w:sz w:val="21"/>
                <w:szCs w:val="21"/>
              </w:rPr>
              <w:t>（实际到位资金</w:t>
            </w:r>
            <w:r>
              <w:rPr>
                <w:rFonts w:ascii="仿宋" w:eastAsia="仿宋" w:hAnsi="仿宋" w:cs="仿宋" w:hint="eastAsia"/>
                <w:sz w:val="21"/>
                <w:szCs w:val="21"/>
              </w:rPr>
              <w:t>/</w:t>
            </w:r>
            <w:r>
              <w:rPr>
                <w:rFonts w:ascii="仿宋" w:eastAsia="仿宋" w:hAnsi="仿宋" w:cs="仿宋" w:hint="eastAsia"/>
                <w:sz w:val="21"/>
                <w:szCs w:val="21"/>
              </w:rPr>
              <w:t>预算资金）×</w:t>
            </w:r>
            <w:r>
              <w:rPr>
                <w:rFonts w:eastAsia="仿宋" w:cs="仿宋" w:hint="eastAsia"/>
                <w:sz w:val="21"/>
                <w:szCs w:val="21"/>
              </w:rPr>
              <w:t>100</w:t>
            </w:r>
            <w:r>
              <w:rPr>
                <w:rFonts w:ascii="仿宋" w:eastAsia="仿宋" w:hAnsi="仿宋" w:cs="仿宋" w:hint="eastAsia"/>
                <w:sz w:val="21"/>
                <w:szCs w:val="21"/>
              </w:rPr>
              <w:t>%</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实际到位资金：一定时期（本年度或项目期）内落实到具体项目的资金。</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预算资金：一定时期（本年度或项目期）内预算安排到具体项目的资金。</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：资金到位是否足额。</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kern w:val="0"/>
                <w:sz w:val="21"/>
                <w:szCs w:val="21"/>
              </w:rPr>
              <w:t>=</w:t>
            </w:r>
            <w:r>
              <w:rPr>
                <w:rFonts w:ascii="仿宋" w:eastAsia="仿宋" w:hAnsi="仿宋" w:cs="仿宋" w:hint="eastAsia"/>
                <w:kern w:val="0"/>
                <w:sz w:val="21"/>
                <w:szCs w:val="21"/>
              </w:rPr>
              <w:t>资金到位率</w:t>
            </w:r>
            <w:r>
              <w:rPr>
                <w:rFonts w:ascii="仿宋" w:eastAsia="仿宋" w:hAnsi="仿宋" w:cs="仿宋" w:hint="eastAsia"/>
                <w:kern w:val="0"/>
                <w:sz w:val="21"/>
                <w:szCs w:val="21"/>
              </w:rPr>
              <w:t>*</w:t>
            </w:r>
            <w:r>
              <w:rPr>
                <w:rFonts w:eastAsia="仿宋" w:cs="仿宋" w:hint="eastAsia"/>
                <w:kern w:val="0"/>
                <w:sz w:val="21"/>
                <w:szCs w:val="21"/>
              </w:rPr>
              <w:t>5</w:t>
            </w:r>
            <w:r>
              <w:rPr>
                <w:rFonts w:ascii="仿宋" w:eastAsia="仿宋" w:hAnsi="仿宋" w:cs="仿宋" w:hint="eastAsia"/>
                <w:kern w:val="0"/>
                <w:sz w:val="21"/>
                <w:szCs w:val="21"/>
              </w:rPr>
              <w:t>分，超过</w:t>
            </w:r>
            <w:r>
              <w:rPr>
                <w:rFonts w:eastAsia="仿宋" w:cs="仿宋" w:hint="eastAsia"/>
                <w:kern w:val="0"/>
                <w:sz w:val="21"/>
                <w:szCs w:val="21"/>
              </w:rPr>
              <w:t>5</w:t>
            </w:r>
            <w:r>
              <w:rPr>
                <w:rFonts w:ascii="仿宋" w:eastAsia="仿宋" w:hAnsi="仿宋" w:cs="仿宋" w:hint="eastAsia"/>
                <w:kern w:val="0"/>
                <w:sz w:val="21"/>
                <w:szCs w:val="21"/>
              </w:rPr>
              <w:t>分按照</w:t>
            </w:r>
            <w:r>
              <w:rPr>
                <w:rFonts w:eastAsia="仿宋" w:cs="仿宋" w:hint="eastAsia"/>
                <w:kern w:val="0"/>
                <w:sz w:val="21"/>
                <w:szCs w:val="21"/>
              </w:rPr>
              <w:t>5</w:t>
            </w:r>
            <w:r>
              <w:rPr>
                <w:rFonts w:ascii="仿宋" w:eastAsia="仿宋" w:hAnsi="仿宋" w:cs="仿宋" w:hint="eastAsia"/>
                <w:kern w:val="0"/>
                <w:sz w:val="21"/>
                <w:szCs w:val="21"/>
              </w:rPr>
              <w:t>分计。</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5</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90"/>
          <w:jc w:val="center"/>
        </w:trPr>
        <w:tc>
          <w:tcPr>
            <w:tcW w:w="700" w:type="dxa"/>
            <w:vMerge w:val="restart"/>
            <w:tcBorders>
              <w:tl2br w:val="nil"/>
              <w:tr2bl w:val="nil"/>
            </w:tcBorders>
            <w:noWrap/>
            <w:vAlign w:val="center"/>
          </w:tcPr>
          <w:p w:rsidR="00122B6D" w:rsidRDefault="00F01EEF">
            <w:pPr>
              <w:widowControl w:val="0"/>
              <w:adjustRightInd w:val="0"/>
              <w:snapToGrid w:val="0"/>
              <w:spacing w:line="240" w:lineRule="auto"/>
              <w:jc w:val="center"/>
              <w:rPr>
                <w:rFonts w:ascii="仿宋" w:eastAsia="仿宋" w:hAnsi="仿宋" w:cs="仿宋"/>
                <w:sz w:val="21"/>
                <w:szCs w:val="21"/>
              </w:rPr>
            </w:pPr>
            <w:r>
              <w:rPr>
                <w:rFonts w:ascii="仿宋" w:eastAsia="仿宋" w:hAnsi="仿宋" w:cs="仿宋" w:hint="eastAsia"/>
                <w:sz w:val="21"/>
                <w:szCs w:val="21"/>
              </w:rPr>
              <w:lastRenderedPageBreak/>
              <w:t>续上页</w:t>
            </w:r>
          </w:p>
        </w:tc>
        <w:tc>
          <w:tcPr>
            <w:tcW w:w="652" w:type="dxa"/>
            <w:vMerge w:val="restart"/>
            <w:tcBorders>
              <w:tl2br w:val="nil"/>
              <w:tr2bl w:val="nil"/>
            </w:tcBorders>
            <w:noWrap/>
            <w:vAlign w:val="center"/>
          </w:tcPr>
          <w:p w:rsidR="00122B6D" w:rsidRDefault="00F01EEF">
            <w:pPr>
              <w:widowControl w:val="0"/>
              <w:adjustRightInd w:val="0"/>
              <w:snapToGrid w:val="0"/>
              <w:spacing w:line="240" w:lineRule="auto"/>
              <w:jc w:val="center"/>
              <w:rPr>
                <w:rFonts w:ascii="仿宋" w:eastAsia="仿宋" w:hAnsi="仿宋" w:cs="仿宋"/>
                <w:sz w:val="21"/>
                <w:szCs w:val="21"/>
              </w:rPr>
            </w:pPr>
            <w:r>
              <w:rPr>
                <w:rFonts w:ascii="仿宋" w:eastAsia="仿宋" w:hAnsi="仿宋" w:cs="仿宋" w:hint="eastAsia"/>
                <w:sz w:val="21"/>
                <w:szCs w:val="21"/>
              </w:rPr>
              <w:t>续上页</w:t>
            </w:r>
          </w:p>
        </w:tc>
        <w:tc>
          <w:tcPr>
            <w:tcW w:w="1142" w:type="dxa"/>
            <w:tcBorders>
              <w:top w:val="single" w:sz="4" w:space="0" w:color="auto"/>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B</w:t>
            </w:r>
            <w:r>
              <w:rPr>
                <w:rFonts w:eastAsia="仿宋" w:cs="仿宋" w:hint="eastAsia"/>
                <w:kern w:val="0"/>
                <w:sz w:val="20"/>
                <w:szCs w:val="20"/>
              </w:rPr>
              <w:t>12</w:t>
            </w:r>
            <w:r>
              <w:rPr>
                <w:rFonts w:ascii="仿宋" w:eastAsia="仿宋" w:hAnsi="仿宋" w:cs="仿宋" w:hint="eastAsia"/>
                <w:kern w:val="0"/>
                <w:sz w:val="21"/>
                <w:szCs w:val="21"/>
              </w:rPr>
              <w:t>预算执行率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100</w:t>
            </w:r>
            <w:r>
              <w:rPr>
                <w:rFonts w:ascii="仿宋" w:eastAsia="仿宋" w:hAnsi="仿宋" w:cs="仿宋" w:hint="eastAsia"/>
                <w:kern w:val="0"/>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项目预算资金是否按照计划执行，用以反映或考核项目预算执行情况。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预算执行率</w:t>
            </w:r>
            <w:r>
              <w:rPr>
                <w:rFonts w:ascii="仿宋" w:eastAsia="仿宋" w:hAnsi="仿宋" w:cs="仿宋" w:hint="eastAsia"/>
                <w:sz w:val="21"/>
                <w:szCs w:val="21"/>
              </w:rPr>
              <w:t>=</w:t>
            </w:r>
            <w:r>
              <w:rPr>
                <w:rFonts w:ascii="仿宋" w:eastAsia="仿宋" w:hAnsi="仿宋" w:cs="仿宋" w:hint="eastAsia"/>
                <w:sz w:val="21"/>
                <w:szCs w:val="21"/>
              </w:rPr>
              <w:t>（实际支出资金</w:t>
            </w:r>
            <w:r>
              <w:rPr>
                <w:rFonts w:ascii="仿宋" w:eastAsia="仿宋" w:hAnsi="仿宋" w:cs="仿宋" w:hint="eastAsia"/>
                <w:sz w:val="21"/>
                <w:szCs w:val="21"/>
              </w:rPr>
              <w:t>/</w:t>
            </w:r>
            <w:r>
              <w:rPr>
                <w:rFonts w:ascii="仿宋" w:eastAsia="仿宋" w:hAnsi="仿宋" w:cs="仿宋" w:hint="eastAsia"/>
                <w:sz w:val="21"/>
                <w:szCs w:val="21"/>
              </w:rPr>
              <w:t>实际到位资金）×</w:t>
            </w:r>
            <w:r>
              <w:rPr>
                <w:rFonts w:eastAsia="仿宋" w:cs="仿宋" w:hint="eastAsia"/>
                <w:sz w:val="21"/>
                <w:szCs w:val="21"/>
              </w:rPr>
              <w:t>100</w:t>
            </w:r>
            <w:r>
              <w:rPr>
                <w:rFonts w:ascii="仿宋" w:eastAsia="仿宋" w:hAnsi="仿宋" w:cs="仿宋" w:hint="eastAsia"/>
                <w:sz w:val="21"/>
                <w:szCs w:val="21"/>
              </w:rPr>
              <w:t>%</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实际支出资金：一定时期（本年度或项目期）内项目实际拨付的资金。</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截止实施周期末资金实际支出比例情况。</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kern w:val="0"/>
                <w:sz w:val="21"/>
                <w:szCs w:val="21"/>
              </w:rPr>
              <w:t>=</w:t>
            </w:r>
            <w:r>
              <w:rPr>
                <w:rFonts w:ascii="仿宋" w:eastAsia="仿宋" w:hAnsi="仿宋" w:cs="仿宋" w:hint="eastAsia"/>
                <w:kern w:val="0"/>
                <w:sz w:val="21"/>
                <w:szCs w:val="21"/>
              </w:rPr>
              <w:t>预算执行率</w:t>
            </w:r>
            <w:r>
              <w:rPr>
                <w:rFonts w:ascii="仿宋" w:eastAsia="仿宋" w:hAnsi="仿宋" w:cs="仿宋" w:hint="eastAsia"/>
                <w:kern w:val="0"/>
                <w:sz w:val="21"/>
                <w:szCs w:val="21"/>
              </w:rPr>
              <w:t>*</w:t>
            </w:r>
            <w:r>
              <w:rPr>
                <w:rFonts w:eastAsia="仿宋" w:cs="仿宋" w:hint="eastAsia"/>
                <w:kern w:val="0"/>
                <w:sz w:val="21"/>
                <w:szCs w:val="21"/>
              </w:rPr>
              <w:t>3</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ascii="仿宋" w:eastAsia="仿宋" w:hAnsi="仿宋" w:cs="仿宋" w:hint="eastAsia"/>
                <w:kern w:val="0"/>
                <w:sz w:val="21"/>
                <w:szCs w:val="21"/>
              </w:rPr>
              <w:t>2.8</w:t>
            </w:r>
          </w:p>
        </w:tc>
        <w:tc>
          <w:tcPr>
            <w:tcW w:w="1333"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kern w:val="0"/>
                <w:sz w:val="21"/>
                <w:szCs w:val="21"/>
              </w:rPr>
            </w:pPr>
            <w:r>
              <w:rPr>
                <w:rFonts w:eastAsia="仿宋" w:cs="仿宋" w:hint="eastAsia"/>
                <w:sz w:val="21"/>
                <w:szCs w:val="21"/>
              </w:rPr>
              <w:t>2025</w:t>
            </w:r>
            <w:r>
              <w:rPr>
                <w:rFonts w:ascii="仿宋" w:eastAsia="仿宋" w:hAnsi="仿宋" w:cs="仿宋" w:hint="eastAsia"/>
                <w:sz w:val="21"/>
                <w:szCs w:val="21"/>
              </w:rPr>
              <w:t>年度粮食专项补助资金项目预算执行率为</w:t>
            </w:r>
            <w:r>
              <w:rPr>
                <w:rFonts w:eastAsia="仿宋" w:cs="仿宋" w:hint="eastAsia"/>
                <w:sz w:val="21"/>
                <w:szCs w:val="21"/>
              </w:rPr>
              <w:t>93.39</w:t>
            </w:r>
            <w:r>
              <w:rPr>
                <w:rFonts w:ascii="仿宋" w:eastAsia="仿宋" w:hAnsi="仿宋" w:cs="仿宋" w:hint="eastAsia"/>
                <w:sz w:val="21"/>
                <w:szCs w:val="21"/>
              </w:rPr>
              <w:t>%</w:t>
            </w:r>
            <w:r>
              <w:rPr>
                <w:rFonts w:ascii="仿宋" w:eastAsia="仿宋" w:hAnsi="仿宋" w:cs="仿宋" w:hint="eastAsia"/>
                <w:sz w:val="21"/>
                <w:szCs w:val="21"/>
              </w:rPr>
              <w:t>。</w:t>
            </w:r>
          </w:p>
        </w:tc>
      </w:tr>
      <w:tr w:rsidR="00122B6D">
        <w:trPr>
          <w:trHeight w:val="2595"/>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B</w:t>
            </w:r>
            <w:r>
              <w:rPr>
                <w:rFonts w:eastAsia="仿宋" w:cs="仿宋" w:hint="eastAsia"/>
                <w:kern w:val="0"/>
                <w:sz w:val="20"/>
                <w:szCs w:val="20"/>
              </w:rPr>
              <w:t>13</w:t>
            </w:r>
            <w:r>
              <w:rPr>
                <w:rFonts w:ascii="仿宋" w:eastAsia="仿宋" w:hAnsi="仿宋" w:cs="仿宋" w:hint="eastAsia"/>
                <w:kern w:val="0"/>
                <w:sz w:val="21"/>
                <w:szCs w:val="21"/>
              </w:rPr>
              <w:t>资金使用合规性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合规</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4</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项目资金使用是否符合相关的财务管理制度规定，用以反映和考核项目资金的规范运行情况。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①项目是否存在截留、挤占、挪用、虚列支出等情况；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②项目资金是否独立核算；</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③资金支出是否符合项目预算批复或合同规定的用途；</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④资金的拨付是否有完整的审批程序和手续；</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sz w:val="21"/>
                <w:szCs w:val="21"/>
              </w:rPr>
              <w:t>⑤是否存在违反国家财经法规和财务管理制度以及有关专项资金管理办法的其他情况。</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评价要点①</w:t>
            </w:r>
            <w:r>
              <w:rPr>
                <w:rFonts w:ascii="仿宋" w:eastAsia="仿宋" w:hAnsi="仿宋" w:cs="仿宋" w:hint="eastAsia"/>
                <w:kern w:val="0"/>
                <w:sz w:val="21"/>
                <w:szCs w:val="21"/>
              </w:rPr>
              <w:t>-</w:t>
            </w:r>
            <w:r>
              <w:rPr>
                <w:rFonts w:ascii="仿宋" w:eastAsia="仿宋" w:hAnsi="仿宋" w:cs="仿宋" w:hint="eastAsia"/>
                <w:kern w:val="0"/>
                <w:sz w:val="21"/>
                <w:szCs w:val="21"/>
              </w:rPr>
              <w:t>⑤类问题中，每出现</w:t>
            </w:r>
            <w:r>
              <w:rPr>
                <w:rFonts w:eastAsia="仿宋" w:cs="仿宋" w:hint="eastAsia"/>
                <w:kern w:val="0"/>
                <w:sz w:val="21"/>
                <w:szCs w:val="21"/>
              </w:rPr>
              <w:t>1</w:t>
            </w:r>
            <w:r>
              <w:rPr>
                <w:rFonts w:ascii="仿宋" w:eastAsia="仿宋" w:hAnsi="仿宋" w:cs="仿宋" w:hint="eastAsia"/>
                <w:kern w:val="0"/>
                <w:sz w:val="21"/>
                <w:szCs w:val="21"/>
              </w:rPr>
              <w:t>类问题扣</w:t>
            </w:r>
            <w:r>
              <w:rPr>
                <w:rFonts w:eastAsia="仿宋" w:cs="仿宋" w:hint="eastAsia"/>
                <w:kern w:val="0"/>
                <w:sz w:val="21"/>
                <w:szCs w:val="21"/>
              </w:rPr>
              <w:t>1</w:t>
            </w:r>
            <w:r>
              <w:rPr>
                <w:rFonts w:ascii="仿宋" w:eastAsia="仿宋" w:hAnsi="仿宋" w:cs="仿宋" w:hint="eastAsia"/>
                <w:kern w:val="0"/>
                <w:sz w:val="21"/>
                <w:szCs w:val="21"/>
              </w:rPr>
              <w:t>分，同类问题不重复扣分，扣完为止。</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4</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color w:val="FF0000"/>
                <w:kern w:val="0"/>
                <w:sz w:val="21"/>
                <w:szCs w:val="21"/>
              </w:rPr>
            </w:pPr>
            <w:r>
              <w:rPr>
                <w:rFonts w:ascii="仿宋" w:eastAsia="仿宋" w:hAnsi="仿宋" w:cs="仿宋" w:hint="eastAsia"/>
                <w:kern w:val="0"/>
                <w:sz w:val="21"/>
                <w:szCs w:val="21"/>
              </w:rPr>
              <w:t>-</w:t>
            </w:r>
          </w:p>
        </w:tc>
      </w:tr>
      <w:tr w:rsidR="00122B6D">
        <w:trPr>
          <w:trHeight w:val="90"/>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color w:val="FF0000"/>
                <w:sz w:val="21"/>
                <w:szCs w:val="21"/>
              </w:rPr>
            </w:pPr>
          </w:p>
        </w:tc>
        <w:tc>
          <w:tcPr>
            <w:tcW w:w="65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B</w:t>
            </w:r>
            <w:r>
              <w:rPr>
                <w:rFonts w:eastAsia="仿宋" w:cs="仿宋" w:hint="eastAsia"/>
                <w:kern w:val="0"/>
                <w:sz w:val="20"/>
                <w:szCs w:val="20"/>
              </w:rPr>
              <w:t>2</w:t>
            </w:r>
            <w:r>
              <w:rPr>
                <w:rFonts w:ascii="仿宋" w:eastAsia="仿宋" w:hAnsi="仿宋" w:cs="仿宋" w:hint="eastAsia"/>
                <w:kern w:val="0"/>
                <w:sz w:val="21"/>
                <w:szCs w:val="21"/>
              </w:rPr>
              <w:t>组织实施</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B</w:t>
            </w:r>
            <w:r>
              <w:rPr>
                <w:rFonts w:eastAsia="仿宋" w:cs="仿宋" w:hint="eastAsia"/>
                <w:kern w:val="0"/>
                <w:sz w:val="20"/>
                <w:szCs w:val="20"/>
              </w:rPr>
              <w:t>21</w:t>
            </w:r>
            <w:r>
              <w:rPr>
                <w:rFonts w:ascii="仿宋" w:eastAsia="仿宋" w:hAnsi="仿宋" w:cs="仿宋" w:hint="eastAsia"/>
                <w:sz w:val="21"/>
                <w:szCs w:val="21"/>
              </w:rPr>
              <w:t>管理机制健全性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健全</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项目实施单位的财务和业务管理制度是否健全，用以反映和考核财务和业务管理制度对项目顺利实施的保障情况。</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①是否已制定或具有相应的财务和业务管理制度；②财务和业务管理制度是否合法、合规、完整。</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sz w:val="21"/>
                <w:szCs w:val="21"/>
              </w:rPr>
              <w:t>①</w:t>
            </w:r>
            <w:r>
              <w:rPr>
                <w:rFonts w:ascii="仿宋" w:eastAsia="仿宋" w:hAnsi="仿宋" w:cs="仿宋" w:hint="eastAsia"/>
                <w:kern w:val="0"/>
                <w:sz w:val="21"/>
                <w:szCs w:val="21"/>
              </w:rPr>
              <w:t>制定了市级储备粮管理机制，得</w:t>
            </w:r>
            <w:r>
              <w:rPr>
                <w:rFonts w:eastAsia="仿宋" w:cs="仿宋" w:hint="eastAsia"/>
                <w:kern w:val="0"/>
                <w:sz w:val="21"/>
                <w:szCs w:val="21"/>
              </w:rPr>
              <w:t>50</w:t>
            </w:r>
            <w:r>
              <w:rPr>
                <w:rFonts w:ascii="仿宋" w:eastAsia="仿宋" w:hAnsi="仿宋" w:cs="仿宋" w:hint="eastAsia"/>
                <w:kern w:val="0"/>
                <w:sz w:val="21"/>
                <w:szCs w:val="21"/>
              </w:rPr>
              <w:t>%</w:t>
            </w:r>
            <w:r>
              <w:rPr>
                <w:rFonts w:ascii="仿宋" w:eastAsia="仿宋" w:hAnsi="仿宋" w:cs="仿宋" w:hint="eastAsia"/>
                <w:kern w:val="0"/>
                <w:sz w:val="21"/>
                <w:szCs w:val="21"/>
              </w:rPr>
              <w:t>，未建立不得分；</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②</w:t>
            </w:r>
            <w:r>
              <w:rPr>
                <w:rFonts w:ascii="仿宋" w:eastAsia="仿宋" w:hAnsi="仿宋" w:cs="仿宋" w:hint="eastAsia"/>
                <w:kern w:val="0"/>
                <w:sz w:val="21"/>
                <w:szCs w:val="21"/>
              </w:rPr>
              <w:t>管理制度健全、合理，得</w:t>
            </w:r>
            <w:r>
              <w:rPr>
                <w:rFonts w:eastAsia="仿宋" w:cs="仿宋" w:hint="eastAsia"/>
                <w:kern w:val="0"/>
                <w:sz w:val="21"/>
                <w:szCs w:val="21"/>
              </w:rPr>
              <w:t>50</w:t>
            </w:r>
            <w:r>
              <w:rPr>
                <w:rFonts w:ascii="仿宋" w:eastAsia="仿宋" w:hAnsi="仿宋" w:cs="仿宋" w:hint="eastAsia"/>
                <w:kern w:val="0"/>
                <w:sz w:val="21"/>
                <w:szCs w:val="21"/>
              </w:rPr>
              <w:t>%</w:t>
            </w:r>
            <w:r>
              <w:rPr>
                <w:rFonts w:ascii="仿宋" w:eastAsia="仿宋" w:hAnsi="仿宋" w:cs="仿宋" w:hint="eastAsia"/>
                <w:kern w:val="0"/>
                <w:sz w:val="21"/>
                <w:szCs w:val="21"/>
              </w:rPr>
              <w:t>，有一项未健全或不合理扣权重分的</w:t>
            </w:r>
            <w:r>
              <w:rPr>
                <w:rFonts w:eastAsia="仿宋" w:cs="仿宋" w:hint="eastAsia"/>
                <w:kern w:val="0"/>
                <w:sz w:val="21"/>
                <w:szCs w:val="21"/>
              </w:rPr>
              <w:t>1</w:t>
            </w:r>
            <w:r>
              <w:rPr>
                <w:rFonts w:eastAsia="仿宋" w:cs="仿宋" w:hint="eastAsia"/>
                <w:kern w:val="0"/>
                <w:sz w:val="21"/>
                <w:szCs w:val="21"/>
              </w:rPr>
              <w:t>分</w:t>
            </w:r>
            <w:r>
              <w:rPr>
                <w:rFonts w:ascii="仿宋" w:eastAsia="仿宋" w:hAnsi="仿宋" w:cs="仿宋" w:hint="eastAsia"/>
                <w:kern w:val="0"/>
                <w:sz w:val="21"/>
                <w:szCs w:val="21"/>
              </w:rPr>
              <w:t>。</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2</w:t>
            </w:r>
          </w:p>
        </w:tc>
        <w:tc>
          <w:tcPr>
            <w:tcW w:w="1333" w:type="dxa"/>
            <w:tcBorders>
              <w:tl2br w:val="nil"/>
              <w:tr2bl w:val="nil"/>
            </w:tcBorders>
            <w:noWrap/>
            <w:vAlign w:val="center"/>
          </w:tcPr>
          <w:p w:rsidR="00122B6D" w:rsidRDefault="00F01EEF">
            <w:pPr>
              <w:widowControl w:val="0"/>
              <w:tabs>
                <w:tab w:val="left" w:pos="425"/>
                <w:tab w:val="center" w:pos="618"/>
              </w:tabs>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成品粮制度需一步完善</w:t>
            </w:r>
            <w:r>
              <w:rPr>
                <w:rFonts w:ascii="仿宋" w:eastAsia="仿宋" w:hAnsi="仿宋" w:cs="仿宋" w:hint="eastAsia"/>
                <w:kern w:val="0"/>
                <w:sz w:val="21"/>
                <w:szCs w:val="21"/>
              </w:rPr>
              <w:tab/>
              <w:t>-</w:t>
            </w:r>
          </w:p>
        </w:tc>
      </w:tr>
      <w:tr w:rsidR="00122B6D">
        <w:trPr>
          <w:trHeight w:val="2132"/>
          <w:jc w:val="center"/>
        </w:trPr>
        <w:tc>
          <w:tcPr>
            <w:tcW w:w="700" w:type="dxa"/>
            <w:tcBorders>
              <w:tl2br w:val="nil"/>
              <w:tr2bl w:val="nil"/>
            </w:tcBorders>
            <w:noWrap/>
            <w:vAlign w:val="center"/>
          </w:tcPr>
          <w:p w:rsidR="00122B6D" w:rsidRDefault="00F01EEF">
            <w:pPr>
              <w:widowControl w:val="0"/>
              <w:adjustRightInd w:val="0"/>
              <w:snapToGrid w:val="0"/>
              <w:spacing w:line="240" w:lineRule="auto"/>
              <w:jc w:val="center"/>
              <w:rPr>
                <w:rFonts w:ascii="仿宋" w:eastAsia="仿宋" w:hAnsi="仿宋" w:cs="仿宋"/>
                <w:color w:val="FF0000"/>
                <w:sz w:val="21"/>
                <w:szCs w:val="21"/>
              </w:rPr>
            </w:pPr>
            <w:r>
              <w:rPr>
                <w:rFonts w:ascii="仿宋" w:eastAsia="仿宋" w:hAnsi="仿宋" w:cs="仿宋" w:hint="eastAsia"/>
                <w:sz w:val="21"/>
                <w:szCs w:val="21"/>
              </w:rPr>
              <w:lastRenderedPageBreak/>
              <w:t>续上页</w:t>
            </w:r>
          </w:p>
        </w:tc>
        <w:tc>
          <w:tcPr>
            <w:tcW w:w="652" w:type="dxa"/>
            <w:tcBorders>
              <w:tl2br w:val="nil"/>
              <w:tr2bl w:val="nil"/>
            </w:tcBorders>
            <w:noWrap/>
            <w:vAlign w:val="center"/>
          </w:tcPr>
          <w:p w:rsidR="00122B6D" w:rsidRDefault="00F01EEF">
            <w:pPr>
              <w:widowControl w:val="0"/>
              <w:adjustRightInd w:val="0"/>
              <w:snapToGrid w:val="0"/>
              <w:spacing w:line="240" w:lineRule="auto"/>
              <w:jc w:val="center"/>
              <w:rPr>
                <w:rFonts w:ascii="仿宋" w:eastAsia="仿宋" w:hAnsi="仿宋" w:cs="仿宋"/>
                <w:color w:val="FF0000"/>
                <w:sz w:val="21"/>
                <w:szCs w:val="21"/>
              </w:rPr>
            </w:pPr>
            <w:r>
              <w:rPr>
                <w:rFonts w:ascii="仿宋" w:eastAsia="仿宋" w:hAnsi="仿宋" w:cs="仿宋" w:hint="eastAsia"/>
                <w:sz w:val="21"/>
                <w:szCs w:val="21"/>
              </w:rPr>
              <w:t>续上页</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0"/>
                <w:szCs w:val="20"/>
              </w:rPr>
              <w:t>B</w:t>
            </w:r>
            <w:r>
              <w:rPr>
                <w:rFonts w:eastAsia="仿宋" w:cs="仿宋" w:hint="eastAsia"/>
                <w:kern w:val="0"/>
                <w:sz w:val="20"/>
                <w:szCs w:val="20"/>
              </w:rPr>
              <w:t>22</w:t>
            </w:r>
            <w:r>
              <w:rPr>
                <w:rFonts w:ascii="仿宋" w:eastAsia="仿宋" w:hAnsi="仿宋" w:cs="仿宋" w:hint="eastAsia"/>
                <w:sz w:val="21"/>
                <w:szCs w:val="21"/>
              </w:rPr>
              <w:t>承储单位管理制度健全性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健全</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5</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kern w:val="0"/>
                <w:sz w:val="21"/>
                <w:szCs w:val="21"/>
              </w:rPr>
              <w:t>项</w:t>
            </w:r>
            <w:r>
              <w:rPr>
                <w:rFonts w:ascii="仿宋" w:eastAsia="仿宋" w:hAnsi="仿宋" w:cs="仿宋" w:hint="eastAsia"/>
                <w:sz w:val="21"/>
                <w:szCs w:val="21"/>
              </w:rPr>
              <w:t>目实施是否符合相关管理规定，用以反映和考核相关管理制度的有效执行情况。</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①承储单位管理制度中包括了轮换管理要求；</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②承储单位管理制度中包括了仓储管理要求；</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③承储单位管理制度中包括了监督管理要求；</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④承储单位管理制度中包括了台账管理要求。</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①承储单位管理制度中包括了轮换管理要求，得</w:t>
            </w:r>
            <w:r>
              <w:rPr>
                <w:rFonts w:eastAsia="仿宋" w:cs="仿宋" w:hint="eastAsia"/>
                <w:sz w:val="21"/>
                <w:szCs w:val="21"/>
              </w:rPr>
              <w:t>25</w:t>
            </w:r>
            <w:r>
              <w:rPr>
                <w:rFonts w:ascii="仿宋" w:eastAsia="仿宋" w:hAnsi="仿宋" w:cs="仿宋" w:hint="eastAsia"/>
                <w:sz w:val="21"/>
                <w:szCs w:val="21"/>
              </w:rPr>
              <w:t>%</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②承储单位管理制度中包括了仓储管理要求，得</w:t>
            </w:r>
            <w:r>
              <w:rPr>
                <w:rFonts w:eastAsia="仿宋" w:cs="仿宋" w:hint="eastAsia"/>
                <w:sz w:val="21"/>
                <w:szCs w:val="21"/>
              </w:rPr>
              <w:t>25</w:t>
            </w:r>
            <w:r>
              <w:rPr>
                <w:rFonts w:ascii="仿宋" w:eastAsia="仿宋" w:hAnsi="仿宋" w:cs="仿宋" w:hint="eastAsia"/>
                <w:sz w:val="21"/>
                <w:szCs w:val="21"/>
              </w:rPr>
              <w:t>%</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③承储单位管理制度中包括了监督管理要求，得</w:t>
            </w:r>
            <w:r>
              <w:rPr>
                <w:rFonts w:eastAsia="仿宋" w:cs="仿宋" w:hint="eastAsia"/>
                <w:sz w:val="21"/>
                <w:szCs w:val="21"/>
              </w:rPr>
              <w:t>25</w:t>
            </w:r>
            <w:r>
              <w:rPr>
                <w:rFonts w:ascii="仿宋" w:eastAsia="仿宋" w:hAnsi="仿宋" w:cs="仿宋" w:hint="eastAsia"/>
                <w:sz w:val="21"/>
                <w:szCs w:val="21"/>
              </w:rPr>
              <w:t>%</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④承储单位管理制度中包括了台账管理要求，得</w:t>
            </w:r>
            <w:r>
              <w:rPr>
                <w:rFonts w:eastAsia="仿宋" w:cs="仿宋" w:hint="eastAsia"/>
                <w:sz w:val="21"/>
                <w:szCs w:val="21"/>
              </w:rPr>
              <w:t>25</w:t>
            </w:r>
            <w:r>
              <w:rPr>
                <w:rFonts w:ascii="仿宋" w:eastAsia="仿宋" w:hAnsi="仿宋" w:cs="仿宋" w:hint="eastAsia"/>
                <w:sz w:val="21"/>
                <w:szCs w:val="21"/>
              </w:rPr>
              <w:t>%</w:t>
            </w:r>
            <w:r>
              <w:rPr>
                <w:rFonts w:ascii="仿宋" w:eastAsia="仿宋" w:hAnsi="仿宋" w:cs="仿宋" w:hint="eastAsia"/>
                <w:sz w:val="21"/>
                <w:szCs w:val="21"/>
              </w:rPr>
              <w:t>。</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5</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w:t>
            </w:r>
          </w:p>
        </w:tc>
      </w:tr>
      <w:tr w:rsidR="00122B6D">
        <w:trPr>
          <w:trHeight w:val="673"/>
          <w:jc w:val="center"/>
        </w:trPr>
        <w:tc>
          <w:tcPr>
            <w:tcW w:w="700"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ascii="仿宋" w:eastAsia="仿宋" w:hAnsi="仿宋" w:cs="仿宋" w:hint="eastAsia"/>
                <w:kern w:val="0"/>
                <w:sz w:val="21"/>
                <w:szCs w:val="21"/>
              </w:rPr>
              <w:t>产出（</w:t>
            </w:r>
            <w:r>
              <w:rPr>
                <w:rFonts w:eastAsia="仿宋" w:cs="仿宋" w:hint="eastAsia"/>
                <w:kern w:val="0"/>
                <w:sz w:val="21"/>
                <w:szCs w:val="21"/>
              </w:rPr>
              <w:t>35</w:t>
            </w:r>
            <w:r>
              <w:rPr>
                <w:rFonts w:ascii="仿宋" w:eastAsia="仿宋" w:hAnsi="仿宋" w:cs="仿宋" w:hint="eastAsia"/>
                <w:kern w:val="0"/>
                <w:sz w:val="21"/>
                <w:szCs w:val="21"/>
              </w:rPr>
              <w:t>分）</w:t>
            </w:r>
          </w:p>
        </w:tc>
        <w:tc>
          <w:tcPr>
            <w:tcW w:w="652"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1</w:t>
            </w:r>
            <w:r>
              <w:rPr>
                <w:rFonts w:ascii="仿宋" w:eastAsia="仿宋" w:hAnsi="仿宋" w:cs="仿宋" w:hint="eastAsia"/>
                <w:kern w:val="0"/>
                <w:sz w:val="21"/>
                <w:szCs w:val="21"/>
              </w:rPr>
              <w:t>产出数量</w:t>
            </w:r>
          </w:p>
        </w:tc>
        <w:tc>
          <w:tcPr>
            <w:tcW w:w="1142" w:type="dxa"/>
            <w:tcBorders>
              <w:bottom w:val="single" w:sz="4" w:space="0" w:color="auto"/>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C</w:t>
            </w:r>
            <w:r>
              <w:rPr>
                <w:rFonts w:eastAsia="仿宋" w:cs="仿宋" w:hint="eastAsia"/>
                <w:sz w:val="21"/>
                <w:szCs w:val="21"/>
              </w:rPr>
              <w:t>11</w:t>
            </w:r>
            <w:r>
              <w:rPr>
                <w:rFonts w:ascii="仿宋" w:eastAsia="仿宋" w:hAnsi="仿宋" w:cs="仿宋" w:hint="eastAsia"/>
                <w:sz w:val="21"/>
                <w:szCs w:val="21"/>
              </w:rPr>
              <w:t>补贴地方储备粮数量</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达标</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4</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考察月末原粮实物库存不低于总量计划的</w:t>
            </w:r>
            <w:r>
              <w:rPr>
                <w:rFonts w:eastAsia="仿宋" w:cs="仿宋" w:hint="eastAsia"/>
                <w:sz w:val="21"/>
                <w:szCs w:val="21"/>
              </w:rPr>
              <w:t>70</w:t>
            </w:r>
            <w:r>
              <w:rPr>
                <w:rFonts w:ascii="仿宋" w:eastAsia="仿宋" w:hAnsi="仿宋" w:cs="仿宋" w:hint="eastAsia"/>
                <w:sz w:val="21"/>
                <w:szCs w:val="21"/>
              </w:rPr>
              <w:t>%</w:t>
            </w:r>
            <w:r>
              <w:rPr>
                <w:rFonts w:ascii="仿宋" w:eastAsia="仿宋" w:hAnsi="仿宋" w:cs="仿宋" w:hint="eastAsia"/>
                <w:sz w:val="21"/>
                <w:szCs w:val="21"/>
              </w:rPr>
              <w:t>，动态成品粮油实物库存不低于总量计划的</w:t>
            </w:r>
            <w:r>
              <w:rPr>
                <w:rFonts w:eastAsia="仿宋" w:cs="仿宋" w:hint="eastAsia"/>
                <w:sz w:val="21"/>
                <w:szCs w:val="21"/>
              </w:rPr>
              <w:t>90</w:t>
            </w:r>
            <w:r>
              <w:rPr>
                <w:rFonts w:ascii="仿宋" w:eastAsia="仿宋" w:hAnsi="仿宋" w:cs="仿宋" w:hint="eastAsia"/>
                <w:sz w:val="21"/>
                <w:szCs w:val="21"/>
              </w:rPr>
              <w:t>%</w:t>
            </w:r>
            <w:r>
              <w:rPr>
                <w:rFonts w:ascii="仿宋" w:eastAsia="仿宋" w:hAnsi="仿宋" w:cs="仿宋" w:hint="eastAsia"/>
                <w:sz w:val="21"/>
                <w:szCs w:val="21"/>
              </w:rPr>
              <w:t>，静态成品粮油实物库存不低于总量计划的</w:t>
            </w:r>
            <w:r>
              <w:rPr>
                <w:rFonts w:ascii="仿宋" w:eastAsia="仿宋" w:hAnsi="仿宋" w:cs="仿宋" w:hint="eastAsia"/>
                <w:sz w:val="21"/>
                <w:szCs w:val="21"/>
              </w:rPr>
              <w:t>10</w:t>
            </w:r>
            <w:r>
              <w:rPr>
                <w:rFonts w:eastAsia="仿宋" w:cs="仿宋" w:hint="eastAsia"/>
                <w:sz w:val="21"/>
                <w:szCs w:val="21"/>
              </w:rPr>
              <w:t>0</w:t>
            </w:r>
            <w:r>
              <w:rPr>
                <w:rFonts w:ascii="仿宋" w:eastAsia="仿宋" w:hAnsi="仿宋" w:cs="仿宋" w:hint="eastAsia"/>
                <w:sz w:val="21"/>
                <w:szCs w:val="21"/>
              </w:rPr>
              <w:t>%</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项目实施周期内各项产出完成情况。</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①每月末原粮实物库存超总量计划</w:t>
            </w:r>
            <w:r>
              <w:rPr>
                <w:rFonts w:eastAsia="仿宋" w:cs="仿宋" w:hint="eastAsia"/>
                <w:sz w:val="21"/>
                <w:szCs w:val="21"/>
              </w:rPr>
              <w:t>70</w:t>
            </w:r>
            <w:r>
              <w:rPr>
                <w:rFonts w:ascii="仿宋" w:eastAsia="仿宋" w:hAnsi="仿宋" w:cs="仿宋" w:hint="eastAsia"/>
                <w:sz w:val="21"/>
                <w:szCs w:val="21"/>
              </w:rPr>
              <w:t>%</w:t>
            </w:r>
            <w:r>
              <w:rPr>
                <w:rFonts w:ascii="仿宋" w:eastAsia="仿宋" w:hAnsi="仿宋" w:cs="仿宋" w:hint="eastAsia"/>
                <w:sz w:val="21"/>
                <w:szCs w:val="21"/>
              </w:rPr>
              <w:t>，得满分；每有一个月未达到，扣</w:t>
            </w:r>
            <w:r>
              <w:rPr>
                <w:rFonts w:eastAsia="仿宋" w:cs="仿宋" w:hint="eastAsia"/>
                <w:sz w:val="21"/>
                <w:szCs w:val="21"/>
              </w:rPr>
              <w:t>1</w:t>
            </w:r>
            <w:r>
              <w:rPr>
                <w:rFonts w:ascii="仿宋" w:eastAsia="仿宋" w:hAnsi="仿宋" w:cs="仿宋" w:hint="eastAsia"/>
                <w:sz w:val="21"/>
                <w:szCs w:val="21"/>
              </w:rPr>
              <w:t>分；</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②动态成品粮油实物库存超总量计划</w:t>
            </w:r>
            <w:r>
              <w:rPr>
                <w:rFonts w:ascii="仿宋" w:eastAsia="仿宋" w:hAnsi="仿宋" w:cs="仿宋" w:hint="eastAsia"/>
                <w:sz w:val="21"/>
                <w:szCs w:val="21"/>
              </w:rPr>
              <w:t>90%</w:t>
            </w:r>
            <w:r>
              <w:rPr>
                <w:rFonts w:ascii="仿宋" w:eastAsia="仿宋" w:hAnsi="仿宋" w:cs="仿宋" w:hint="eastAsia"/>
                <w:sz w:val="21"/>
                <w:szCs w:val="21"/>
              </w:rPr>
              <w:t>，得满分，每有一个月未达到的，扣</w:t>
            </w:r>
            <w:r>
              <w:rPr>
                <w:rFonts w:ascii="仿宋" w:eastAsia="仿宋" w:hAnsi="仿宋" w:cs="仿宋" w:hint="eastAsia"/>
                <w:sz w:val="21"/>
                <w:szCs w:val="21"/>
              </w:rPr>
              <w:t>1</w:t>
            </w:r>
            <w:r>
              <w:rPr>
                <w:rFonts w:ascii="仿宋" w:eastAsia="仿宋" w:hAnsi="仿宋" w:cs="仿宋" w:hint="eastAsia"/>
                <w:sz w:val="21"/>
                <w:szCs w:val="21"/>
              </w:rPr>
              <w:t>分</w:t>
            </w:r>
          </w:p>
          <w:p w:rsidR="00122B6D" w:rsidRDefault="00F01EEF">
            <w:pPr>
              <w:widowControl w:val="0"/>
              <w:adjustRightInd w:val="0"/>
              <w:snapToGrid w:val="0"/>
              <w:spacing w:line="240" w:lineRule="auto"/>
              <w:jc w:val="left"/>
              <w:textAlignment w:val="center"/>
              <w:rPr>
                <w:rFonts w:ascii="仿宋" w:eastAsia="仿宋" w:hAnsi="仿宋" w:cs="仿宋"/>
              </w:rPr>
            </w:pPr>
            <w:r>
              <w:rPr>
                <w:rFonts w:ascii="仿宋" w:eastAsia="仿宋" w:hAnsi="仿宋" w:cs="仿宋" w:hint="eastAsia"/>
                <w:sz w:val="21"/>
                <w:szCs w:val="21"/>
              </w:rPr>
              <w:t>③静态成品粮油实物库存超总量计划</w:t>
            </w:r>
            <w:r>
              <w:rPr>
                <w:rFonts w:ascii="仿宋" w:eastAsia="仿宋" w:hAnsi="仿宋" w:cs="仿宋" w:hint="eastAsia"/>
                <w:sz w:val="21"/>
                <w:szCs w:val="21"/>
              </w:rPr>
              <w:t>10</w:t>
            </w:r>
            <w:r>
              <w:rPr>
                <w:rFonts w:eastAsia="仿宋" w:cs="仿宋" w:hint="eastAsia"/>
                <w:sz w:val="21"/>
                <w:szCs w:val="21"/>
              </w:rPr>
              <w:t>0</w:t>
            </w:r>
            <w:r>
              <w:rPr>
                <w:rFonts w:ascii="仿宋" w:eastAsia="仿宋" w:hAnsi="仿宋" w:cs="仿宋" w:hint="eastAsia"/>
                <w:sz w:val="21"/>
                <w:szCs w:val="21"/>
              </w:rPr>
              <w:t>%</w:t>
            </w:r>
            <w:r>
              <w:rPr>
                <w:rFonts w:ascii="仿宋" w:eastAsia="仿宋" w:hAnsi="仿宋" w:cs="仿宋" w:hint="eastAsia"/>
                <w:sz w:val="21"/>
                <w:szCs w:val="21"/>
              </w:rPr>
              <w:t>，得满分，每有一个月未达到的，扣</w:t>
            </w:r>
            <w:r>
              <w:rPr>
                <w:rFonts w:eastAsia="仿宋" w:cs="仿宋" w:hint="eastAsia"/>
                <w:sz w:val="21"/>
                <w:szCs w:val="21"/>
              </w:rPr>
              <w:t>1</w:t>
            </w:r>
            <w:r>
              <w:rPr>
                <w:rFonts w:ascii="仿宋" w:eastAsia="仿宋" w:hAnsi="仿宋" w:cs="仿宋" w:hint="eastAsia"/>
                <w:sz w:val="21"/>
                <w:szCs w:val="21"/>
              </w:rPr>
              <w:t>分。</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4</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673"/>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kern w:val="0"/>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kern w:val="0"/>
                <w:sz w:val="21"/>
                <w:szCs w:val="21"/>
              </w:rPr>
            </w:pPr>
          </w:p>
        </w:tc>
        <w:tc>
          <w:tcPr>
            <w:tcW w:w="1142" w:type="dxa"/>
            <w:tcBorders>
              <w:bottom w:val="single" w:sz="4" w:space="0" w:color="auto"/>
              <w:tl2br w:val="nil"/>
              <w:tr2bl w:val="nil"/>
            </w:tcBorders>
            <w:noWrap/>
            <w:vAlign w:val="center"/>
          </w:tcPr>
          <w:p w:rsidR="00122B6D" w:rsidRDefault="00F01EEF">
            <w:pPr>
              <w:widowControl w:val="0"/>
              <w:tabs>
                <w:tab w:val="left" w:pos="302"/>
              </w:tabs>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C</w:t>
            </w:r>
            <w:r>
              <w:rPr>
                <w:rFonts w:eastAsia="仿宋" w:cs="仿宋" w:hint="eastAsia"/>
                <w:sz w:val="21"/>
                <w:szCs w:val="21"/>
              </w:rPr>
              <w:t>12</w:t>
            </w:r>
            <w:r>
              <w:rPr>
                <w:rFonts w:ascii="仿宋" w:eastAsia="仿宋" w:hAnsi="仿宋" w:cs="仿宋" w:hint="eastAsia"/>
                <w:sz w:val="21"/>
                <w:szCs w:val="21"/>
              </w:rPr>
              <w:t>补贴储备企业数量</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eastAsia="仿宋" w:cs="仿宋"/>
                <w:sz w:val="21"/>
                <w:szCs w:val="21"/>
              </w:rPr>
            </w:pPr>
            <w:r>
              <w:rPr>
                <w:rFonts w:ascii="仿宋" w:eastAsia="仿宋" w:hAnsi="仿宋" w:cs="仿宋" w:hint="eastAsia"/>
                <w:sz w:val="21"/>
                <w:szCs w:val="21"/>
              </w:rPr>
              <w:t>达标</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eastAsia="仿宋" w:cs="仿宋"/>
                <w:kern w:val="0"/>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反映年度内补贴储备企业数量。</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项目实施周期内各项产出完成情况。</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补贴储备企业数量等于下达计划数，有应补未补的，发现一家扣</w:t>
            </w:r>
            <w:r>
              <w:rPr>
                <w:rFonts w:ascii="仿宋" w:eastAsia="仿宋" w:hAnsi="仿宋" w:cs="仿宋" w:hint="eastAsia"/>
                <w:sz w:val="21"/>
                <w:szCs w:val="21"/>
              </w:rPr>
              <w:t>1</w:t>
            </w:r>
            <w:r>
              <w:rPr>
                <w:rFonts w:ascii="仿宋" w:eastAsia="仿宋" w:hAnsi="仿宋" w:cs="仿宋" w:hint="eastAsia"/>
                <w:sz w:val="21"/>
                <w:szCs w:val="21"/>
              </w:rPr>
              <w:t>分，扣完为止。</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eastAsia="仿宋" w:cs="仿宋"/>
                <w:kern w:val="0"/>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kern w:val="0"/>
                <w:sz w:val="21"/>
                <w:szCs w:val="21"/>
              </w:rPr>
            </w:pPr>
          </w:p>
        </w:tc>
      </w:tr>
      <w:tr w:rsidR="00122B6D">
        <w:trPr>
          <w:trHeight w:val="189"/>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op w:val="single" w:sz="4" w:space="0" w:color="auto"/>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C</w:t>
            </w:r>
            <w:r>
              <w:rPr>
                <w:rFonts w:eastAsia="仿宋" w:cs="仿宋" w:hint="eastAsia"/>
                <w:sz w:val="21"/>
                <w:szCs w:val="21"/>
              </w:rPr>
              <w:t>13</w:t>
            </w:r>
            <w:r>
              <w:rPr>
                <w:rFonts w:ascii="仿宋" w:eastAsia="仿宋" w:hAnsi="仿宋" w:cs="仿宋" w:hint="eastAsia"/>
                <w:sz w:val="21"/>
                <w:szCs w:val="21"/>
              </w:rPr>
              <w:t>定向销售量</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达标</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考察淮安基地向南京定向销售量完成情况；应急情况下供应南京半个月成品粮数量达标情况。</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项目实施周期内各项产出完成情况。</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kern w:val="0"/>
                <w:sz w:val="21"/>
                <w:szCs w:val="21"/>
              </w:rPr>
              <w:t>稻谷、小麦数量合计达标得</w:t>
            </w:r>
            <w:r>
              <w:rPr>
                <w:rFonts w:eastAsia="仿宋" w:cs="仿宋" w:hint="eastAsia"/>
                <w:kern w:val="0"/>
                <w:sz w:val="21"/>
                <w:szCs w:val="21"/>
              </w:rPr>
              <w:t>2</w:t>
            </w:r>
            <w:r>
              <w:rPr>
                <w:rFonts w:ascii="仿宋" w:eastAsia="仿宋" w:hAnsi="仿宋" w:cs="仿宋" w:hint="eastAsia"/>
                <w:kern w:val="0"/>
                <w:sz w:val="21"/>
                <w:szCs w:val="21"/>
              </w:rPr>
              <w:t>分，每低</w:t>
            </w:r>
            <w:r>
              <w:rPr>
                <w:rFonts w:eastAsia="仿宋" w:cs="仿宋" w:hint="eastAsia"/>
                <w:kern w:val="0"/>
                <w:sz w:val="21"/>
                <w:szCs w:val="21"/>
              </w:rPr>
              <w:t>1</w:t>
            </w:r>
            <w:r>
              <w:rPr>
                <w:rFonts w:ascii="仿宋" w:eastAsia="仿宋" w:hAnsi="仿宋" w:cs="仿宋" w:hint="eastAsia"/>
                <w:kern w:val="0"/>
                <w:sz w:val="21"/>
                <w:szCs w:val="21"/>
              </w:rPr>
              <w:t>万吨扣除</w:t>
            </w:r>
            <w:r>
              <w:rPr>
                <w:rFonts w:eastAsia="仿宋" w:cs="仿宋" w:hint="eastAsia"/>
                <w:kern w:val="0"/>
                <w:sz w:val="21"/>
                <w:szCs w:val="21"/>
              </w:rPr>
              <w:t>1</w:t>
            </w:r>
            <w:r>
              <w:rPr>
                <w:rFonts w:ascii="仿宋" w:eastAsia="仿宋" w:hAnsi="仿宋" w:cs="仿宋" w:hint="eastAsia"/>
                <w:kern w:val="0"/>
                <w:sz w:val="21"/>
                <w:szCs w:val="21"/>
              </w:rPr>
              <w:t>分，扣完为止。</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361"/>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C</w:t>
            </w:r>
            <w:r>
              <w:rPr>
                <w:rFonts w:eastAsia="仿宋" w:cs="仿宋" w:hint="eastAsia"/>
                <w:sz w:val="21"/>
                <w:szCs w:val="21"/>
              </w:rPr>
              <w:t>14</w:t>
            </w:r>
            <w:r>
              <w:rPr>
                <w:rFonts w:ascii="仿宋" w:eastAsia="仿宋" w:hAnsi="仿宋" w:cs="仿宋" w:hint="eastAsia"/>
                <w:sz w:val="21"/>
                <w:szCs w:val="21"/>
              </w:rPr>
              <w:t>信息数据核实</w:t>
            </w:r>
            <w:r>
              <w:rPr>
                <w:rFonts w:ascii="仿宋" w:eastAsia="仿宋" w:hAnsi="仿宋" w:cs="仿宋" w:hint="eastAsia"/>
                <w:sz w:val="21"/>
                <w:szCs w:val="21"/>
              </w:rPr>
              <w:lastRenderedPageBreak/>
              <w:t>次数</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lastRenderedPageBreak/>
              <w:t>100</w:t>
            </w:r>
            <w:r>
              <w:rPr>
                <w:rFonts w:ascii="仿宋" w:eastAsia="仿宋" w:hAnsi="仿宋" w:cs="仿宋" w:hint="eastAsia"/>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反映年度内信息数据核实次数。</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项目实施周期内各项产出完成情况。</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未按合同要求完成信息数据核实的，每发现一次扣</w:t>
            </w:r>
            <w:r>
              <w:rPr>
                <w:rFonts w:ascii="仿宋" w:eastAsia="仿宋" w:hAnsi="仿宋" w:cs="仿宋" w:hint="eastAsia"/>
                <w:kern w:val="0"/>
                <w:sz w:val="21"/>
                <w:szCs w:val="21"/>
              </w:rPr>
              <w:t>1</w:t>
            </w:r>
            <w:r>
              <w:rPr>
                <w:rFonts w:ascii="仿宋" w:eastAsia="仿宋" w:hAnsi="仿宋" w:cs="仿宋" w:hint="eastAsia"/>
                <w:kern w:val="0"/>
                <w:sz w:val="21"/>
                <w:szCs w:val="21"/>
              </w:rPr>
              <w:t>分，扣完为止。</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563"/>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C</w:t>
            </w:r>
            <w:r>
              <w:rPr>
                <w:rFonts w:eastAsia="仿宋" w:cs="仿宋" w:hint="eastAsia"/>
                <w:sz w:val="21"/>
                <w:szCs w:val="21"/>
              </w:rPr>
              <w:t>15</w:t>
            </w:r>
            <w:r>
              <w:rPr>
                <w:rFonts w:ascii="仿宋" w:eastAsia="仿宋" w:hAnsi="仿宋" w:cs="仿宋" w:hint="eastAsia"/>
                <w:sz w:val="21"/>
                <w:szCs w:val="21"/>
              </w:rPr>
              <w:t>市粮油仓储设施建设项目补助发放完成率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100</w:t>
            </w:r>
            <w:r>
              <w:rPr>
                <w:rFonts w:ascii="仿宋" w:eastAsia="仿宋" w:hAnsi="仿宋" w:cs="仿宋" w:hint="eastAsia"/>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项目实施的实际产出数与计划产出数的比率，用以反映和考核项目产出数量目标的实现程度。</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sz w:val="21"/>
                <w:szCs w:val="21"/>
              </w:rPr>
              <w:t>发放完成率</w:t>
            </w:r>
            <w:r>
              <w:rPr>
                <w:rFonts w:ascii="仿宋" w:eastAsia="仿宋" w:hAnsi="仿宋" w:cs="仿宋" w:hint="eastAsia"/>
                <w:sz w:val="21"/>
                <w:szCs w:val="21"/>
              </w:rPr>
              <w:t>=</w:t>
            </w:r>
            <w:r>
              <w:rPr>
                <w:rFonts w:ascii="仿宋" w:eastAsia="仿宋" w:hAnsi="仿宋" w:cs="仿宋" w:hint="eastAsia"/>
                <w:sz w:val="21"/>
                <w:szCs w:val="21"/>
              </w:rPr>
              <w:t>（实际发放补贴</w:t>
            </w:r>
            <w:r>
              <w:rPr>
                <w:rFonts w:ascii="仿宋" w:eastAsia="仿宋" w:hAnsi="仿宋" w:cs="仿宋" w:hint="eastAsia"/>
                <w:sz w:val="21"/>
                <w:szCs w:val="21"/>
              </w:rPr>
              <w:t>/</w:t>
            </w:r>
            <w:r>
              <w:rPr>
                <w:rFonts w:ascii="仿宋" w:eastAsia="仿宋" w:hAnsi="仿宋" w:cs="仿宋" w:hint="eastAsia"/>
                <w:sz w:val="21"/>
                <w:szCs w:val="21"/>
              </w:rPr>
              <w:t>应发放补贴）×</w:t>
            </w:r>
            <w:r>
              <w:rPr>
                <w:rFonts w:eastAsia="仿宋" w:cs="仿宋" w:hint="eastAsia"/>
                <w:sz w:val="21"/>
                <w:szCs w:val="21"/>
              </w:rPr>
              <w:t>100</w:t>
            </w:r>
            <w:r>
              <w:rPr>
                <w:rFonts w:ascii="仿宋" w:eastAsia="仿宋" w:hAnsi="仿宋" w:cs="仿宋" w:hint="eastAsia"/>
                <w:sz w:val="21"/>
                <w:szCs w:val="21"/>
              </w:rPr>
              <w:t>%</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b/>
                <w:bCs/>
                <w:kern w:val="0"/>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项目实施周期内各项产出完成情况。</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得分＝</w:t>
            </w:r>
            <w:r>
              <w:rPr>
                <w:rFonts w:ascii="仿宋" w:eastAsia="仿宋" w:hAnsi="仿宋" w:cs="仿宋" w:hint="eastAsia"/>
                <w:sz w:val="21"/>
                <w:szCs w:val="21"/>
              </w:rPr>
              <w:t>发放完成率</w:t>
            </w:r>
            <w:r>
              <w:rPr>
                <w:rFonts w:ascii="仿宋" w:eastAsia="仿宋" w:hAnsi="仿宋" w:cs="仿宋" w:hint="eastAsia"/>
                <w:kern w:val="0"/>
                <w:sz w:val="21"/>
                <w:szCs w:val="21"/>
              </w:rPr>
              <w:t>*</w:t>
            </w:r>
            <w:r>
              <w:rPr>
                <w:rFonts w:eastAsia="仿宋" w:cs="仿宋" w:hint="eastAsia"/>
                <w:kern w:val="0"/>
                <w:sz w:val="21"/>
                <w:szCs w:val="21"/>
              </w:rPr>
              <w:t>3</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632"/>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color w:val="FF0000"/>
                <w:sz w:val="21"/>
                <w:szCs w:val="21"/>
              </w:rPr>
            </w:pPr>
          </w:p>
        </w:tc>
        <w:tc>
          <w:tcPr>
            <w:tcW w:w="652" w:type="dxa"/>
            <w:vMerge w:val="restart"/>
            <w:tcBorders>
              <w:top w:val="single" w:sz="4" w:space="0" w:color="auto"/>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2</w:t>
            </w:r>
            <w:r>
              <w:rPr>
                <w:rFonts w:ascii="仿宋" w:eastAsia="仿宋" w:hAnsi="仿宋" w:cs="仿宋" w:hint="eastAsia"/>
                <w:kern w:val="0"/>
                <w:sz w:val="21"/>
                <w:szCs w:val="21"/>
              </w:rPr>
              <w:t>产出质量</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21</w:t>
            </w:r>
            <w:r>
              <w:rPr>
                <w:rFonts w:ascii="仿宋" w:eastAsia="仿宋" w:hAnsi="仿宋" w:cs="仿宋" w:hint="eastAsia"/>
                <w:sz w:val="21"/>
                <w:szCs w:val="21"/>
              </w:rPr>
              <w:t>补贴对象资格符合率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100</w:t>
            </w:r>
            <w:r>
              <w:rPr>
                <w:rFonts w:ascii="仿宋" w:eastAsia="仿宋" w:hAnsi="仿宋" w:cs="仿宋" w:hint="eastAsia"/>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指标解释：</w:t>
            </w:r>
            <w:r>
              <w:rPr>
                <w:rFonts w:ascii="仿宋" w:eastAsia="仿宋" w:hAnsi="仿宋" w:cs="仿宋" w:hint="eastAsia"/>
                <w:sz w:val="21"/>
                <w:szCs w:val="21"/>
              </w:rPr>
              <w:t>补贴对象资格符合率</w:t>
            </w:r>
            <w:r>
              <w:rPr>
                <w:rFonts w:ascii="仿宋" w:eastAsia="仿宋" w:hAnsi="仿宋" w:cs="仿宋" w:hint="eastAsia"/>
                <w:sz w:val="21"/>
                <w:szCs w:val="21"/>
              </w:rPr>
              <w:t>=</w:t>
            </w:r>
            <w:r>
              <w:rPr>
                <w:rFonts w:ascii="仿宋" w:eastAsia="仿宋" w:hAnsi="仿宋" w:cs="仿宋" w:hint="eastAsia"/>
                <w:sz w:val="21"/>
                <w:szCs w:val="21"/>
              </w:rPr>
              <w:t>符合资格的补贴对象数÷补贴对象总数×</w:t>
            </w:r>
            <w:r>
              <w:rPr>
                <w:rFonts w:ascii="仿宋" w:eastAsia="仿宋" w:hAnsi="仿宋" w:cs="仿宋" w:hint="eastAsia"/>
                <w:sz w:val="21"/>
                <w:szCs w:val="21"/>
              </w:rPr>
              <w:t>100%</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核实补贴对象资格符合情况。</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sz w:val="21"/>
                <w:szCs w:val="21"/>
              </w:rPr>
              <w:t>补贴对象资格符合率</w:t>
            </w:r>
            <w:r>
              <w:rPr>
                <w:rFonts w:ascii="仿宋" w:eastAsia="仿宋" w:hAnsi="仿宋" w:cs="仿宋" w:hint="eastAsia"/>
                <w:kern w:val="0"/>
                <w:sz w:val="21"/>
                <w:szCs w:val="21"/>
              </w:rPr>
              <w:t>*</w:t>
            </w:r>
            <w:r>
              <w:rPr>
                <w:rFonts w:eastAsia="仿宋" w:cs="仿宋" w:hint="eastAsia"/>
                <w:kern w:val="0"/>
                <w:sz w:val="21"/>
                <w:szCs w:val="21"/>
              </w:rPr>
              <w:t>3</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w:t>
            </w:r>
          </w:p>
        </w:tc>
      </w:tr>
      <w:tr w:rsidR="00122B6D">
        <w:trPr>
          <w:trHeight w:val="636"/>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22</w:t>
            </w:r>
            <w:r>
              <w:rPr>
                <w:rFonts w:ascii="仿宋" w:eastAsia="仿宋" w:hAnsi="仿宋" w:cs="仿宋" w:hint="eastAsia"/>
                <w:sz w:val="21"/>
                <w:szCs w:val="21"/>
              </w:rPr>
              <w:t>粮食质量合格率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100</w:t>
            </w:r>
            <w:r>
              <w:rPr>
                <w:rFonts w:ascii="仿宋" w:eastAsia="仿宋" w:hAnsi="仿宋" w:cs="仿宋" w:hint="eastAsia"/>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指标解释：</w:t>
            </w:r>
            <w:r>
              <w:rPr>
                <w:rFonts w:ascii="仿宋" w:eastAsia="仿宋" w:hAnsi="仿宋" w:cs="仿宋" w:hint="eastAsia"/>
                <w:sz w:val="21"/>
                <w:szCs w:val="21"/>
              </w:rPr>
              <w:t>储备粮质量达标率</w:t>
            </w:r>
            <w:r>
              <w:rPr>
                <w:rFonts w:ascii="仿宋" w:eastAsia="仿宋" w:hAnsi="仿宋" w:cs="仿宋" w:hint="eastAsia"/>
                <w:sz w:val="21"/>
                <w:szCs w:val="21"/>
              </w:rPr>
              <w:t>=</w:t>
            </w:r>
            <w:r>
              <w:rPr>
                <w:rFonts w:ascii="仿宋" w:eastAsia="仿宋" w:hAnsi="仿宋" w:cs="仿宋" w:hint="eastAsia"/>
                <w:sz w:val="21"/>
                <w:szCs w:val="21"/>
              </w:rPr>
              <w:t>质量达标的储备粮数量÷储备粮总数量×</w:t>
            </w:r>
            <w:r>
              <w:rPr>
                <w:rFonts w:ascii="仿宋" w:eastAsia="仿宋" w:hAnsi="仿宋" w:cs="仿宋" w:hint="eastAsia"/>
                <w:sz w:val="21"/>
                <w:szCs w:val="21"/>
              </w:rPr>
              <w:t>100%</w:t>
            </w:r>
          </w:p>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核实储备粮油质量合格情况</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sz w:val="21"/>
                <w:szCs w:val="21"/>
              </w:rPr>
              <w:t>粮食质量合格率</w:t>
            </w:r>
            <w:r>
              <w:rPr>
                <w:rFonts w:ascii="仿宋" w:eastAsia="仿宋" w:hAnsi="仿宋" w:cs="仿宋" w:hint="eastAsia"/>
                <w:kern w:val="0"/>
                <w:sz w:val="21"/>
                <w:szCs w:val="21"/>
              </w:rPr>
              <w:t>*</w:t>
            </w:r>
            <w:r>
              <w:rPr>
                <w:rFonts w:eastAsia="仿宋" w:cs="仿宋" w:hint="eastAsia"/>
                <w:kern w:val="0"/>
                <w:sz w:val="21"/>
                <w:szCs w:val="21"/>
              </w:rPr>
              <w:t>3</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w:t>
            </w:r>
          </w:p>
        </w:tc>
      </w:tr>
      <w:tr w:rsidR="00122B6D">
        <w:trPr>
          <w:trHeight w:val="636"/>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C23</w:t>
            </w:r>
            <w:r>
              <w:rPr>
                <w:rFonts w:ascii="仿宋" w:eastAsia="仿宋" w:hAnsi="仿宋" w:cs="仿宋" w:hint="eastAsia"/>
                <w:kern w:val="0"/>
                <w:sz w:val="21"/>
                <w:szCs w:val="21"/>
              </w:rPr>
              <w:t>数据准确率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100</w:t>
            </w:r>
            <w:r>
              <w:rPr>
                <w:rFonts w:ascii="仿宋" w:eastAsia="仿宋" w:hAnsi="仿宋" w:cs="仿宋" w:hint="eastAsia"/>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eastAsia="仿宋" w:cs="仿宋"/>
                <w:sz w:val="21"/>
                <w:szCs w:val="21"/>
              </w:rPr>
            </w:pPr>
            <w:r>
              <w:rPr>
                <w:rFonts w:eastAsia="仿宋" w:cs="仿宋" w:hint="eastAsia"/>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sz w:val="21"/>
                <w:szCs w:val="21"/>
              </w:rPr>
              <w:t>指标解释：</w:t>
            </w:r>
            <w:r>
              <w:rPr>
                <w:rFonts w:ascii="仿宋" w:eastAsia="仿宋" w:hAnsi="仿宋" w:cs="仿宋" w:hint="eastAsia"/>
                <w:sz w:val="21"/>
                <w:szCs w:val="21"/>
              </w:rPr>
              <w:t>数据准确率</w:t>
            </w:r>
            <w:r>
              <w:rPr>
                <w:rFonts w:ascii="仿宋" w:eastAsia="仿宋" w:hAnsi="仿宋" w:cs="仿宋" w:hint="eastAsia"/>
                <w:sz w:val="21"/>
                <w:szCs w:val="21"/>
              </w:rPr>
              <w:t>=</w:t>
            </w:r>
            <w:r>
              <w:rPr>
                <w:rFonts w:ascii="仿宋" w:eastAsia="仿宋" w:hAnsi="仿宋" w:cs="仿宋" w:hint="eastAsia"/>
                <w:sz w:val="21"/>
                <w:szCs w:val="21"/>
              </w:rPr>
              <w:t>核实后准确的储备粮油数据数量÷总核实数据数量×</w:t>
            </w:r>
            <w:r>
              <w:rPr>
                <w:rFonts w:ascii="仿宋" w:eastAsia="仿宋" w:hAnsi="仿宋" w:cs="仿宋" w:hint="eastAsia"/>
                <w:sz w:val="21"/>
                <w:szCs w:val="21"/>
              </w:rPr>
              <w:t>100%</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核实储备粮油数据核实准确情况</w:t>
            </w:r>
          </w:p>
        </w:tc>
        <w:tc>
          <w:tcPr>
            <w:tcW w:w="3737"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sz w:val="21"/>
                <w:szCs w:val="21"/>
              </w:rPr>
              <w:t>数据准确率</w:t>
            </w:r>
            <w:r>
              <w:rPr>
                <w:rFonts w:ascii="仿宋" w:eastAsia="仿宋" w:hAnsi="仿宋" w:cs="仿宋" w:hint="eastAsia"/>
                <w:kern w:val="0"/>
                <w:sz w:val="21"/>
                <w:szCs w:val="21"/>
              </w:rPr>
              <w:t>*</w:t>
            </w:r>
            <w:r>
              <w:rPr>
                <w:rFonts w:eastAsia="仿宋" w:cs="仿宋" w:hint="eastAsia"/>
                <w:kern w:val="0"/>
                <w:sz w:val="21"/>
                <w:szCs w:val="21"/>
              </w:rPr>
              <w:t>3</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eastAsia="仿宋" w:cs="仿宋"/>
                <w:kern w:val="0"/>
                <w:sz w:val="21"/>
                <w:szCs w:val="21"/>
              </w:rPr>
            </w:pPr>
            <w:r>
              <w:rPr>
                <w:rFonts w:eastAsia="仿宋" w:cs="仿宋" w:hint="eastAsia"/>
                <w:sz w:val="21"/>
                <w:szCs w:val="21"/>
              </w:rPr>
              <w:t>3</w:t>
            </w:r>
          </w:p>
        </w:tc>
        <w:tc>
          <w:tcPr>
            <w:tcW w:w="1333" w:type="dxa"/>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sz w:val="21"/>
                <w:szCs w:val="21"/>
              </w:rPr>
            </w:pPr>
          </w:p>
        </w:tc>
      </w:tr>
      <w:tr w:rsidR="00122B6D">
        <w:trPr>
          <w:trHeight w:val="746"/>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color w:val="FF0000"/>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24</w:t>
            </w:r>
            <w:r>
              <w:rPr>
                <w:rFonts w:ascii="仿宋" w:eastAsia="仿宋" w:hAnsi="仿宋" w:cs="仿宋" w:hint="eastAsia"/>
                <w:sz w:val="21"/>
                <w:szCs w:val="21"/>
              </w:rPr>
              <w:t>仓储物流设施升级改造验收合格率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100</w:t>
            </w:r>
            <w:r>
              <w:rPr>
                <w:rFonts w:ascii="仿宋" w:eastAsia="仿宋" w:hAnsi="仿宋" w:cs="仿宋" w:hint="eastAsia"/>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b/>
                <w:bCs/>
                <w:sz w:val="21"/>
                <w:szCs w:val="21"/>
              </w:rPr>
              <w:t>指标解释：</w:t>
            </w:r>
            <w:r>
              <w:rPr>
                <w:rFonts w:ascii="仿宋" w:eastAsia="仿宋" w:hAnsi="仿宋" w:cs="仿宋" w:hint="eastAsia"/>
                <w:kern w:val="0"/>
                <w:sz w:val="21"/>
                <w:szCs w:val="21"/>
              </w:rPr>
              <w:t>考察</w:t>
            </w:r>
            <w:r>
              <w:rPr>
                <w:rFonts w:ascii="仿宋" w:eastAsia="仿宋" w:hAnsi="仿宋" w:cs="仿宋" w:hint="eastAsia"/>
                <w:sz w:val="21"/>
                <w:szCs w:val="21"/>
              </w:rPr>
              <w:t>仓储物流设施建设验收</w:t>
            </w:r>
            <w:r>
              <w:rPr>
                <w:rFonts w:ascii="仿宋" w:eastAsia="仿宋" w:hAnsi="仿宋" w:cs="仿宋" w:hint="eastAsia"/>
                <w:kern w:val="0"/>
                <w:sz w:val="21"/>
                <w:szCs w:val="21"/>
              </w:rPr>
              <w:t>是否合格。</w:t>
            </w:r>
          </w:p>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b/>
                <w:bCs/>
                <w:sz w:val="21"/>
                <w:szCs w:val="21"/>
              </w:rPr>
              <w:t>评价要点</w:t>
            </w:r>
            <w:r>
              <w:rPr>
                <w:rFonts w:ascii="仿宋" w:eastAsia="仿宋" w:hAnsi="仿宋" w:cs="仿宋" w:hint="eastAsia"/>
                <w:b/>
                <w:bCs/>
                <w:sz w:val="21"/>
                <w:szCs w:val="21"/>
              </w:rPr>
              <w:t>:</w:t>
            </w:r>
            <w:r>
              <w:rPr>
                <w:rFonts w:ascii="仿宋" w:eastAsia="仿宋" w:hAnsi="仿宋" w:cs="仿宋" w:hint="eastAsia"/>
                <w:sz w:val="21"/>
                <w:szCs w:val="21"/>
              </w:rPr>
              <w:t>仓储物流设施建设验收合格率达</w:t>
            </w:r>
            <w:r>
              <w:rPr>
                <w:rFonts w:eastAsia="仿宋" w:cs="仿宋" w:hint="eastAsia"/>
                <w:sz w:val="21"/>
                <w:szCs w:val="21"/>
              </w:rPr>
              <w:t>100</w:t>
            </w:r>
            <w:r>
              <w:rPr>
                <w:rFonts w:ascii="仿宋" w:eastAsia="仿宋" w:hAnsi="仿宋" w:cs="仿宋" w:hint="eastAsia"/>
                <w:sz w:val="21"/>
                <w:szCs w:val="21"/>
              </w:rPr>
              <w:t>%</w:t>
            </w:r>
            <w:r>
              <w:rPr>
                <w:rFonts w:ascii="仿宋" w:eastAsia="仿宋" w:hAnsi="仿宋" w:cs="仿宋" w:hint="eastAsia"/>
                <w:sz w:val="21"/>
                <w:szCs w:val="21"/>
              </w:rPr>
              <w:t>得满分，＜</w:t>
            </w:r>
            <w:r>
              <w:rPr>
                <w:rFonts w:eastAsia="仿宋" w:cs="仿宋" w:hint="eastAsia"/>
                <w:sz w:val="21"/>
                <w:szCs w:val="21"/>
              </w:rPr>
              <w:t>100</w:t>
            </w:r>
            <w:r>
              <w:rPr>
                <w:rFonts w:ascii="仿宋" w:eastAsia="仿宋" w:hAnsi="仿宋" w:cs="仿宋" w:hint="eastAsia"/>
                <w:sz w:val="21"/>
                <w:szCs w:val="21"/>
              </w:rPr>
              <w:t>%</w:t>
            </w:r>
            <w:r>
              <w:rPr>
                <w:rFonts w:ascii="仿宋" w:eastAsia="仿宋" w:hAnsi="仿宋" w:cs="仿宋" w:hint="eastAsia"/>
                <w:sz w:val="21"/>
                <w:szCs w:val="21"/>
              </w:rPr>
              <w:t>按比例扣分。</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sz w:val="21"/>
                <w:szCs w:val="21"/>
              </w:rPr>
              <w:t>仓储物流设施建设验收合格率达</w:t>
            </w:r>
            <w:r>
              <w:rPr>
                <w:rFonts w:eastAsia="仿宋" w:cs="仿宋" w:hint="eastAsia"/>
                <w:sz w:val="21"/>
                <w:szCs w:val="21"/>
              </w:rPr>
              <w:t>100</w:t>
            </w:r>
            <w:r>
              <w:rPr>
                <w:rFonts w:ascii="仿宋" w:eastAsia="仿宋" w:hAnsi="仿宋" w:cs="仿宋" w:hint="eastAsia"/>
                <w:sz w:val="21"/>
                <w:szCs w:val="21"/>
              </w:rPr>
              <w:t>%</w:t>
            </w:r>
            <w:r>
              <w:rPr>
                <w:rFonts w:ascii="仿宋" w:eastAsia="仿宋" w:hAnsi="仿宋" w:cs="仿宋" w:hint="eastAsia"/>
                <w:sz w:val="21"/>
                <w:szCs w:val="21"/>
              </w:rPr>
              <w:t>得满分，＜</w:t>
            </w:r>
            <w:r>
              <w:rPr>
                <w:rFonts w:eastAsia="仿宋" w:cs="仿宋" w:hint="eastAsia"/>
                <w:sz w:val="21"/>
                <w:szCs w:val="21"/>
              </w:rPr>
              <w:t>100</w:t>
            </w:r>
            <w:r>
              <w:rPr>
                <w:rFonts w:ascii="仿宋" w:eastAsia="仿宋" w:hAnsi="仿宋" w:cs="仿宋" w:hint="eastAsia"/>
                <w:sz w:val="21"/>
                <w:szCs w:val="21"/>
              </w:rPr>
              <w:t>%</w:t>
            </w:r>
            <w:r>
              <w:rPr>
                <w:rFonts w:ascii="仿宋" w:eastAsia="仿宋" w:hAnsi="仿宋" w:cs="仿宋" w:hint="eastAsia"/>
                <w:sz w:val="21"/>
                <w:szCs w:val="21"/>
              </w:rPr>
              <w:t>按比例扣分。</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1792"/>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sz w:val="21"/>
                <w:szCs w:val="21"/>
              </w:rPr>
            </w:pPr>
          </w:p>
        </w:tc>
        <w:tc>
          <w:tcPr>
            <w:tcW w:w="652"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3</w:t>
            </w:r>
            <w:r>
              <w:rPr>
                <w:rFonts w:ascii="仿宋" w:eastAsia="仿宋" w:hAnsi="仿宋" w:cs="仿宋" w:hint="eastAsia"/>
                <w:kern w:val="0"/>
                <w:sz w:val="21"/>
                <w:szCs w:val="21"/>
              </w:rPr>
              <w:t>产出时效</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31</w:t>
            </w:r>
            <w:r>
              <w:rPr>
                <w:rFonts w:ascii="仿宋" w:eastAsia="仿宋" w:hAnsi="仿宋" w:cs="仿宋" w:hint="eastAsia"/>
                <w:sz w:val="21"/>
                <w:szCs w:val="21"/>
              </w:rPr>
              <w:t>粮食补贴发放及时率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及时</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2</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kern w:val="0"/>
                <w:sz w:val="21"/>
                <w:szCs w:val="21"/>
              </w:rPr>
              <w:t>补贴资金发放及时率</w:t>
            </w:r>
            <w:r>
              <w:rPr>
                <w:rFonts w:ascii="仿宋" w:eastAsia="仿宋" w:hAnsi="仿宋" w:cs="仿宋" w:hint="eastAsia"/>
                <w:kern w:val="0"/>
                <w:sz w:val="21"/>
                <w:szCs w:val="21"/>
              </w:rPr>
              <w:t>=</w:t>
            </w:r>
            <w:r>
              <w:rPr>
                <w:rFonts w:ascii="仿宋" w:eastAsia="仿宋" w:hAnsi="仿宋" w:cs="仿宋" w:hint="eastAsia"/>
                <w:kern w:val="0"/>
                <w:sz w:val="21"/>
                <w:szCs w:val="21"/>
              </w:rPr>
              <w:t>按时发放的补贴资金金额÷应发放补贴资金总额×</w:t>
            </w:r>
            <w:r>
              <w:rPr>
                <w:rFonts w:ascii="仿宋" w:eastAsia="仿宋" w:hAnsi="仿宋" w:cs="仿宋" w:hint="eastAsia"/>
                <w:kern w:val="0"/>
                <w:sz w:val="21"/>
                <w:szCs w:val="21"/>
              </w:rPr>
              <w:t>100%</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项目实施周期内粮食补贴发放是否及时。</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sz w:val="21"/>
                <w:szCs w:val="21"/>
              </w:rPr>
              <w:t>粮食补贴发放及时率</w:t>
            </w:r>
            <w:r>
              <w:rPr>
                <w:rFonts w:ascii="仿宋" w:eastAsia="仿宋" w:hAnsi="仿宋" w:cs="仿宋" w:hint="eastAsia"/>
                <w:kern w:val="0"/>
                <w:sz w:val="21"/>
                <w:szCs w:val="21"/>
              </w:rPr>
              <w:t>*</w:t>
            </w:r>
            <w:r>
              <w:rPr>
                <w:rFonts w:eastAsia="仿宋" w:cs="仿宋" w:hint="eastAsia"/>
                <w:kern w:val="0"/>
                <w:sz w:val="21"/>
                <w:szCs w:val="21"/>
              </w:rPr>
              <w:t>2</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sz w:val="21"/>
                <w:szCs w:val="21"/>
              </w:rPr>
              <w:t>2</w:t>
            </w:r>
          </w:p>
        </w:tc>
        <w:tc>
          <w:tcPr>
            <w:tcW w:w="1333" w:type="dxa"/>
            <w:tcBorders>
              <w:tl2br w:val="nil"/>
              <w:tr2bl w:val="nil"/>
            </w:tcBorders>
            <w:noWrap/>
            <w:vAlign w:val="center"/>
          </w:tcPr>
          <w:p w:rsidR="00122B6D" w:rsidRDefault="00122B6D">
            <w:pPr>
              <w:widowControl w:val="0"/>
              <w:adjustRightInd w:val="0"/>
              <w:snapToGrid w:val="0"/>
              <w:spacing w:line="240" w:lineRule="auto"/>
              <w:textAlignment w:val="center"/>
              <w:rPr>
                <w:rFonts w:ascii="仿宋" w:eastAsia="仿宋" w:hAnsi="仿宋" w:cs="仿宋"/>
                <w:kern w:val="0"/>
                <w:sz w:val="21"/>
                <w:szCs w:val="21"/>
              </w:rPr>
            </w:pPr>
          </w:p>
        </w:tc>
      </w:tr>
      <w:tr w:rsidR="00122B6D">
        <w:trPr>
          <w:trHeight w:val="1358"/>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32</w:t>
            </w:r>
            <w:r>
              <w:rPr>
                <w:rFonts w:ascii="仿宋" w:eastAsia="仿宋" w:hAnsi="仿宋" w:cs="仿宋" w:hint="eastAsia"/>
                <w:sz w:val="21"/>
                <w:szCs w:val="21"/>
              </w:rPr>
              <w:t>信息采集核查及时率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及时</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2</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b/>
                <w:bCs/>
                <w:kern w:val="0"/>
                <w:sz w:val="21"/>
                <w:szCs w:val="21"/>
              </w:rPr>
              <w:t>指标解释：</w:t>
            </w:r>
            <w:r>
              <w:rPr>
                <w:rFonts w:ascii="仿宋" w:eastAsia="仿宋" w:hAnsi="仿宋" w:cs="仿宋" w:hint="eastAsia"/>
                <w:kern w:val="0"/>
                <w:sz w:val="21"/>
                <w:szCs w:val="21"/>
              </w:rPr>
              <w:t>信息采集核查及时率</w:t>
            </w:r>
            <w:r>
              <w:rPr>
                <w:rFonts w:ascii="仿宋" w:eastAsia="仿宋" w:hAnsi="仿宋" w:cs="仿宋" w:hint="eastAsia"/>
                <w:kern w:val="0"/>
                <w:sz w:val="21"/>
                <w:szCs w:val="21"/>
              </w:rPr>
              <w:t>=</w:t>
            </w:r>
            <w:r>
              <w:rPr>
                <w:rFonts w:ascii="仿宋" w:eastAsia="仿宋" w:hAnsi="仿宋" w:cs="仿宋" w:hint="eastAsia"/>
                <w:kern w:val="0"/>
                <w:sz w:val="21"/>
                <w:szCs w:val="21"/>
              </w:rPr>
              <w:t>按时提交的粮食信息报告数量÷应提交报告数量×</w:t>
            </w:r>
            <w:r>
              <w:rPr>
                <w:rFonts w:ascii="仿宋" w:eastAsia="仿宋" w:hAnsi="仿宋" w:cs="仿宋" w:hint="eastAsia"/>
                <w:kern w:val="0"/>
                <w:sz w:val="21"/>
                <w:szCs w:val="21"/>
              </w:rPr>
              <w:t>100%</w:t>
            </w:r>
            <w:r>
              <w:rPr>
                <w:rFonts w:ascii="仿宋" w:eastAsia="仿宋" w:hAnsi="仿宋" w:cs="仿宋" w:hint="eastAsia"/>
                <w:sz w:val="21"/>
                <w:szCs w:val="21"/>
              </w:rPr>
              <w:t>。</w:t>
            </w:r>
          </w:p>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sz w:val="21"/>
                <w:szCs w:val="21"/>
              </w:rPr>
              <w:t>评价要点：</w:t>
            </w:r>
            <w:r>
              <w:rPr>
                <w:rFonts w:ascii="仿宋" w:eastAsia="仿宋" w:hAnsi="仿宋" w:cs="仿宋" w:hint="eastAsia"/>
                <w:sz w:val="21"/>
                <w:szCs w:val="21"/>
              </w:rPr>
              <w:t>信息采集核查工作是否及时。</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kern w:val="0"/>
                <w:sz w:val="21"/>
                <w:szCs w:val="21"/>
              </w:rPr>
              <w:t>=</w:t>
            </w:r>
            <w:r>
              <w:rPr>
                <w:rFonts w:ascii="仿宋" w:eastAsia="仿宋" w:hAnsi="仿宋" w:cs="仿宋" w:hint="eastAsia"/>
                <w:sz w:val="21"/>
                <w:szCs w:val="21"/>
              </w:rPr>
              <w:t>信息采集核查及时率</w:t>
            </w:r>
            <w:r>
              <w:rPr>
                <w:rFonts w:ascii="仿宋" w:eastAsia="仿宋" w:hAnsi="仿宋" w:cs="仿宋" w:hint="eastAsia"/>
                <w:kern w:val="0"/>
                <w:sz w:val="21"/>
                <w:szCs w:val="21"/>
              </w:rPr>
              <w:t>*</w:t>
            </w:r>
            <w:r>
              <w:rPr>
                <w:rFonts w:eastAsia="仿宋" w:cs="仿宋" w:hint="eastAsia"/>
                <w:kern w:val="0"/>
                <w:sz w:val="21"/>
                <w:szCs w:val="21"/>
              </w:rPr>
              <w:t>2</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2</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90"/>
          <w:jc w:val="center"/>
        </w:trPr>
        <w:tc>
          <w:tcPr>
            <w:tcW w:w="700" w:type="dxa"/>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652" w:type="dxa"/>
            <w:tcBorders>
              <w:tl2br w:val="nil"/>
              <w:tr2bl w:val="nil"/>
            </w:tcBorders>
            <w:noWrap/>
            <w:vAlign w:val="center"/>
          </w:tcPr>
          <w:p w:rsidR="00122B6D" w:rsidRDefault="00122B6D">
            <w:pPr>
              <w:widowControl w:val="0"/>
              <w:adjustRightInd w:val="0"/>
              <w:snapToGrid w:val="0"/>
              <w:spacing w:line="240" w:lineRule="auto"/>
              <w:jc w:val="center"/>
              <w:rPr>
                <w:rFonts w:ascii="仿宋" w:eastAsia="仿宋" w:hAnsi="仿宋" w:cs="仿宋"/>
                <w:sz w:val="21"/>
                <w:szCs w:val="21"/>
              </w:rPr>
            </w:pP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C</w:t>
            </w:r>
            <w:r>
              <w:rPr>
                <w:rFonts w:eastAsia="仿宋" w:cs="仿宋" w:hint="eastAsia"/>
                <w:kern w:val="0"/>
                <w:sz w:val="21"/>
                <w:szCs w:val="21"/>
              </w:rPr>
              <w:t>33</w:t>
            </w:r>
            <w:r>
              <w:rPr>
                <w:rFonts w:ascii="仿宋" w:eastAsia="仿宋" w:hAnsi="仿宋" w:cs="仿宋" w:hint="eastAsia"/>
                <w:sz w:val="21"/>
                <w:szCs w:val="21"/>
              </w:rPr>
              <w:t>仓储物流设施建设项目验收及时性</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及时</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b/>
                <w:bCs/>
                <w:kern w:val="0"/>
                <w:sz w:val="21"/>
                <w:szCs w:val="21"/>
              </w:rPr>
              <w:t>指标解释：</w:t>
            </w:r>
            <w:r>
              <w:rPr>
                <w:rFonts w:ascii="仿宋" w:eastAsia="仿宋" w:hAnsi="仿宋" w:cs="仿宋" w:hint="eastAsia"/>
                <w:kern w:val="0"/>
                <w:sz w:val="21"/>
                <w:szCs w:val="21"/>
              </w:rPr>
              <w:t>补贴发放完成时间与计划完成时间的比较，用以反映和考核项目产出时效目标的实现程度。</w:t>
            </w:r>
          </w:p>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评价要点：项目实施周期内仓储物流设施建设项目验收是否及时。</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根据项目建设及时性程度赋分：</w:t>
            </w:r>
          </w:p>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验收及时，得分</w:t>
            </w:r>
            <w:r>
              <w:rPr>
                <w:rFonts w:eastAsia="仿宋" w:cs="仿宋" w:hint="eastAsia"/>
                <w:kern w:val="0"/>
                <w:sz w:val="21"/>
                <w:szCs w:val="21"/>
              </w:rPr>
              <w:t>3</w:t>
            </w:r>
            <w:r>
              <w:rPr>
                <w:rFonts w:ascii="仿宋" w:eastAsia="仿宋" w:hAnsi="仿宋" w:cs="仿宋" w:hint="eastAsia"/>
                <w:kern w:val="0"/>
                <w:sz w:val="21"/>
                <w:szCs w:val="21"/>
              </w:rPr>
              <w:t>分；</w:t>
            </w:r>
          </w:p>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项目验收有一定的滞后，但对效益发挥没有负面影响的，得分</w:t>
            </w:r>
            <w:r>
              <w:rPr>
                <w:rFonts w:eastAsia="仿宋" w:cs="仿宋" w:hint="eastAsia"/>
                <w:kern w:val="0"/>
                <w:sz w:val="21"/>
                <w:szCs w:val="21"/>
              </w:rPr>
              <w:t>2</w:t>
            </w:r>
            <w:r>
              <w:rPr>
                <w:rFonts w:ascii="仿宋" w:eastAsia="仿宋" w:hAnsi="仿宋" w:cs="仿宋" w:hint="eastAsia"/>
                <w:kern w:val="0"/>
                <w:sz w:val="21"/>
                <w:szCs w:val="21"/>
              </w:rPr>
              <w:t>.</w:t>
            </w:r>
            <w:r>
              <w:rPr>
                <w:rFonts w:eastAsia="仿宋" w:cs="仿宋" w:hint="eastAsia"/>
                <w:kern w:val="0"/>
                <w:sz w:val="21"/>
                <w:szCs w:val="21"/>
              </w:rPr>
              <w:t>5</w:t>
            </w:r>
            <w:r>
              <w:rPr>
                <w:rFonts w:ascii="仿宋" w:eastAsia="仿宋" w:hAnsi="仿宋" w:cs="仿宋" w:hint="eastAsia"/>
                <w:kern w:val="0"/>
                <w:sz w:val="21"/>
                <w:szCs w:val="21"/>
              </w:rPr>
              <w:t>分；</w:t>
            </w:r>
          </w:p>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项目验收部分滞后，且对效益发挥存在一定负面影响，得分</w:t>
            </w:r>
            <w:r>
              <w:rPr>
                <w:rFonts w:eastAsia="仿宋" w:cs="仿宋" w:hint="eastAsia"/>
                <w:kern w:val="0"/>
                <w:sz w:val="21"/>
                <w:szCs w:val="21"/>
              </w:rPr>
              <w:t>1</w:t>
            </w:r>
            <w:r>
              <w:rPr>
                <w:rFonts w:ascii="仿宋" w:eastAsia="仿宋" w:hAnsi="仿宋" w:cs="仿宋" w:hint="eastAsia"/>
                <w:kern w:val="0"/>
                <w:sz w:val="21"/>
                <w:szCs w:val="21"/>
              </w:rPr>
              <w:t>.</w:t>
            </w:r>
            <w:r>
              <w:rPr>
                <w:rFonts w:eastAsia="仿宋" w:cs="仿宋" w:hint="eastAsia"/>
                <w:kern w:val="0"/>
                <w:sz w:val="21"/>
                <w:szCs w:val="21"/>
              </w:rPr>
              <w:t>5</w:t>
            </w:r>
            <w:r>
              <w:rPr>
                <w:rFonts w:ascii="仿宋" w:eastAsia="仿宋" w:hAnsi="仿宋" w:cs="仿宋" w:hint="eastAsia"/>
                <w:kern w:val="0"/>
                <w:sz w:val="21"/>
                <w:szCs w:val="21"/>
              </w:rPr>
              <w:t>分。</w:t>
            </w:r>
          </w:p>
          <w:p w:rsidR="00122B6D" w:rsidRDefault="00F01EEF">
            <w:pPr>
              <w:widowControl w:val="0"/>
              <w:adjustRightInd w:val="0"/>
              <w:snapToGrid w:val="0"/>
              <w:spacing w:line="240" w:lineRule="auto"/>
              <w:jc w:val="left"/>
              <w:textAlignment w:val="center"/>
              <w:rPr>
                <w:rFonts w:ascii="仿宋" w:eastAsia="仿宋" w:hAnsi="仿宋" w:cs="仿宋"/>
                <w:kern w:val="0"/>
                <w:sz w:val="21"/>
                <w:szCs w:val="21"/>
              </w:rPr>
            </w:pPr>
            <w:r>
              <w:rPr>
                <w:rFonts w:ascii="仿宋" w:eastAsia="仿宋" w:hAnsi="仿宋" w:cs="仿宋" w:hint="eastAsia"/>
                <w:kern w:val="0"/>
                <w:sz w:val="21"/>
                <w:szCs w:val="21"/>
              </w:rPr>
              <w:t>项目验收严重滞后，其对效益发挥影响较大，得</w:t>
            </w:r>
            <w:r>
              <w:rPr>
                <w:rFonts w:eastAsia="仿宋" w:cs="仿宋" w:hint="eastAsia"/>
                <w:kern w:val="0"/>
                <w:sz w:val="21"/>
                <w:szCs w:val="21"/>
              </w:rPr>
              <w:t>0</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kern w:val="0"/>
                <w:sz w:val="21"/>
                <w:szCs w:val="21"/>
              </w:rPr>
            </w:pPr>
            <w:r>
              <w:rPr>
                <w:rFonts w:eastAsia="仿宋" w:cs="仿宋" w:hint="eastAsia"/>
                <w:kern w:val="0"/>
                <w:sz w:val="21"/>
                <w:szCs w:val="21"/>
              </w:rPr>
              <w:t>3</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w:t>
            </w:r>
          </w:p>
        </w:tc>
      </w:tr>
      <w:tr w:rsidR="00122B6D">
        <w:trPr>
          <w:trHeight w:val="496"/>
          <w:jc w:val="center"/>
        </w:trPr>
        <w:tc>
          <w:tcPr>
            <w:tcW w:w="700"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D</w:t>
            </w:r>
            <w:r>
              <w:rPr>
                <w:rFonts w:ascii="仿宋" w:eastAsia="仿宋" w:hAnsi="仿宋" w:cs="仿宋" w:hint="eastAsia"/>
                <w:kern w:val="0"/>
                <w:sz w:val="21"/>
                <w:szCs w:val="21"/>
              </w:rPr>
              <w:t>效益</w:t>
            </w:r>
          </w:p>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w:t>
            </w:r>
            <w:r>
              <w:rPr>
                <w:rFonts w:eastAsia="仿宋" w:cs="仿宋" w:hint="eastAsia"/>
                <w:kern w:val="0"/>
                <w:sz w:val="21"/>
                <w:szCs w:val="21"/>
              </w:rPr>
              <w:t>20</w:t>
            </w:r>
            <w:r>
              <w:rPr>
                <w:rFonts w:ascii="仿宋" w:eastAsia="仿宋" w:hAnsi="仿宋" w:cs="仿宋" w:hint="eastAsia"/>
                <w:kern w:val="0"/>
                <w:sz w:val="21"/>
                <w:szCs w:val="21"/>
              </w:rPr>
              <w:t>分）</w:t>
            </w:r>
          </w:p>
        </w:tc>
        <w:tc>
          <w:tcPr>
            <w:tcW w:w="652" w:type="dxa"/>
            <w:vMerge w:val="restart"/>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kern w:val="0"/>
                <w:sz w:val="21"/>
                <w:szCs w:val="21"/>
              </w:rPr>
            </w:pPr>
            <w:r>
              <w:rPr>
                <w:rFonts w:ascii="仿宋" w:eastAsia="仿宋" w:hAnsi="仿宋" w:cs="仿宋" w:hint="eastAsia"/>
                <w:kern w:val="0"/>
                <w:sz w:val="21"/>
                <w:szCs w:val="21"/>
              </w:rPr>
              <w:t>D</w:t>
            </w:r>
            <w:r>
              <w:rPr>
                <w:rFonts w:eastAsia="仿宋" w:cs="仿宋" w:hint="eastAsia"/>
                <w:kern w:val="0"/>
                <w:sz w:val="21"/>
                <w:szCs w:val="21"/>
              </w:rPr>
              <w:t>1</w:t>
            </w:r>
            <w:r>
              <w:rPr>
                <w:rFonts w:ascii="仿宋" w:eastAsia="仿宋" w:hAnsi="仿宋" w:cs="仿宋" w:hint="eastAsia"/>
                <w:kern w:val="0"/>
                <w:sz w:val="21"/>
                <w:szCs w:val="21"/>
              </w:rPr>
              <w:t>社会</w:t>
            </w:r>
          </w:p>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效益</w:t>
            </w:r>
          </w:p>
        </w:tc>
        <w:tc>
          <w:tcPr>
            <w:tcW w:w="1142" w:type="dxa"/>
            <w:tcBorders>
              <w:bottom w:val="single" w:sz="4" w:space="0" w:color="auto"/>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D</w:t>
            </w:r>
            <w:r>
              <w:rPr>
                <w:rFonts w:eastAsia="仿宋" w:cs="仿宋" w:hint="eastAsia"/>
                <w:kern w:val="0"/>
                <w:sz w:val="21"/>
                <w:szCs w:val="21"/>
              </w:rPr>
              <w:t>11</w:t>
            </w:r>
            <w:r>
              <w:rPr>
                <w:rFonts w:ascii="仿宋" w:eastAsia="仿宋" w:hAnsi="仿宋" w:cs="仿宋" w:hint="eastAsia"/>
                <w:sz w:val="21"/>
                <w:szCs w:val="21"/>
              </w:rPr>
              <w:t>储备粮储存安全率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100%</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10</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储备粮储存安全率</w:t>
            </w:r>
            <w:r>
              <w:rPr>
                <w:rFonts w:ascii="仿宋" w:eastAsia="仿宋" w:hAnsi="仿宋" w:cs="仿宋" w:hint="eastAsia"/>
                <w:sz w:val="21"/>
                <w:szCs w:val="21"/>
              </w:rPr>
              <w:t>=</w:t>
            </w:r>
            <w:r>
              <w:rPr>
                <w:rFonts w:ascii="仿宋" w:eastAsia="仿宋" w:hAnsi="仿宋" w:cs="仿宋" w:hint="eastAsia"/>
                <w:sz w:val="21"/>
                <w:szCs w:val="21"/>
              </w:rPr>
              <w:t>无安全事故的储备粮储存量÷总储存量×</w:t>
            </w:r>
            <w:r>
              <w:rPr>
                <w:rFonts w:ascii="仿宋" w:eastAsia="仿宋" w:hAnsi="仿宋" w:cs="仿宋" w:hint="eastAsia"/>
                <w:sz w:val="21"/>
                <w:szCs w:val="21"/>
              </w:rPr>
              <w:t>100%</w:t>
            </w:r>
            <w:r>
              <w:rPr>
                <w:rFonts w:ascii="仿宋" w:eastAsia="仿宋" w:hAnsi="仿宋" w:cs="仿宋" w:hint="eastAsia"/>
                <w:sz w:val="21"/>
                <w:szCs w:val="21"/>
              </w:rPr>
              <w:t>。</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kern w:val="0"/>
                <w:sz w:val="21"/>
                <w:szCs w:val="21"/>
              </w:rPr>
              <w:t>=</w:t>
            </w:r>
            <w:r>
              <w:rPr>
                <w:rFonts w:ascii="仿宋" w:eastAsia="仿宋" w:hAnsi="仿宋" w:cs="仿宋" w:hint="eastAsia"/>
                <w:sz w:val="21"/>
                <w:szCs w:val="21"/>
              </w:rPr>
              <w:t>储备粮储存安全率</w:t>
            </w:r>
            <w:r>
              <w:rPr>
                <w:rFonts w:ascii="仿宋" w:eastAsia="仿宋" w:hAnsi="仿宋" w:cs="仿宋" w:hint="eastAsia"/>
                <w:kern w:val="0"/>
                <w:sz w:val="21"/>
                <w:szCs w:val="21"/>
              </w:rPr>
              <w:t>*</w:t>
            </w:r>
            <w:r>
              <w:rPr>
                <w:rFonts w:eastAsia="仿宋" w:cs="仿宋" w:hint="eastAsia"/>
                <w:kern w:val="0"/>
                <w:sz w:val="21"/>
                <w:szCs w:val="21"/>
              </w:rPr>
              <w:t>10</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sz w:val="21"/>
                <w:szCs w:val="21"/>
              </w:rPr>
            </w:pPr>
            <w:r>
              <w:rPr>
                <w:rFonts w:eastAsia="仿宋" w:cs="仿宋" w:hint="eastAsia"/>
                <w:kern w:val="0"/>
                <w:sz w:val="21"/>
                <w:szCs w:val="21"/>
              </w:rPr>
              <w:t>10</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w:t>
            </w:r>
          </w:p>
        </w:tc>
      </w:tr>
      <w:tr w:rsidR="00122B6D">
        <w:trPr>
          <w:trHeight w:val="591"/>
          <w:jc w:val="center"/>
        </w:trPr>
        <w:tc>
          <w:tcPr>
            <w:tcW w:w="700" w:type="dxa"/>
            <w:vMerge/>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sz w:val="21"/>
                <w:szCs w:val="21"/>
              </w:rPr>
            </w:pPr>
          </w:p>
        </w:tc>
        <w:tc>
          <w:tcPr>
            <w:tcW w:w="652" w:type="dxa"/>
            <w:vMerge/>
            <w:tcBorders>
              <w:tl2br w:val="nil"/>
              <w:tr2bl w:val="nil"/>
            </w:tcBorders>
            <w:noWrap/>
            <w:vAlign w:val="center"/>
          </w:tcPr>
          <w:p w:rsidR="00122B6D" w:rsidRDefault="00122B6D">
            <w:pPr>
              <w:widowControl w:val="0"/>
              <w:adjustRightInd w:val="0"/>
              <w:snapToGrid w:val="0"/>
              <w:spacing w:line="240" w:lineRule="auto"/>
              <w:jc w:val="center"/>
              <w:textAlignment w:val="center"/>
              <w:rPr>
                <w:rFonts w:ascii="仿宋" w:eastAsia="仿宋" w:hAnsi="仿宋" w:cs="仿宋"/>
                <w:sz w:val="21"/>
                <w:szCs w:val="21"/>
              </w:rPr>
            </w:pPr>
          </w:p>
        </w:tc>
        <w:tc>
          <w:tcPr>
            <w:tcW w:w="1142" w:type="dxa"/>
            <w:tcBorders>
              <w:top w:val="single" w:sz="4" w:space="0" w:color="auto"/>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kern w:val="0"/>
                <w:sz w:val="21"/>
                <w:szCs w:val="21"/>
              </w:rPr>
              <w:t>D</w:t>
            </w:r>
            <w:r>
              <w:rPr>
                <w:rFonts w:eastAsia="仿宋" w:cs="仿宋" w:hint="eastAsia"/>
                <w:kern w:val="0"/>
                <w:sz w:val="21"/>
                <w:szCs w:val="21"/>
              </w:rPr>
              <w:t>12</w:t>
            </w:r>
            <w:r>
              <w:rPr>
                <w:rFonts w:eastAsia="仿宋" w:cs="仿宋" w:hint="eastAsia"/>
                <w:kern w:val="0"/>
                <w:sz w:val="21"/>
                <w:szCs w:val="21"/>
              </w:rPr>
              <w:t>承储计划完成率</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100%</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10</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承储计划完成率</w:t>
            </w:r>
            <w:r>
              <w:rPr>
                <w:rFonts w:ascii="仿宋" w:eastAsia="仿宋" w:hAnsi="仿宋" w:cs="仿宋" w:hint="eastAsia"/>
                <w:sz w:val="21"/>
                <w:szCs w:val="21"/>
              </w:rPr>
              <w:t>=</w:t>
            </w:r>
            <w:r>
              <w:rPr>
                <w:rFonts w:ascii="仿宋" w:eastAsia="仿宋" w:hAnsi="仿宋" w:cs="仿宋" w:hint="eastAsia"/>
                <w:sz w:val="21"/>
                <w:szCs w:val="21"/>
              </w:rPr>
              <w:t>完成承储计划的次数÷承储计划总次数×</w:t>
            </w:r>
            <w:r>
              <w:rPr>
                <w:rFonts w:ascii="仿宋" w:eastAsia="仿宋" w:hAnsi="仿宋" w:cs="仿宋" w:hint="eastAsia"/>
                <w:sz w:val="21"/>
                <w:szCs w:val="21"/>
              </w:rPr>
              <w:t>100%</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kern w:val="0"/>
                <w:sz w:val="21"/>
                <w:szCs w:val="21"/>
              </w:rPr>
              <w:t>=</w:t>
            </w:r>
            <w:r>
              <w:rPr>
                <w:rFonts w:eastAsia="仿宋" w:cs="仿宋" w:hint="eastAsia"/>
                <w:kern w:val="0"/>
                <w:sz w:val="21"/>
                <w:szCs w:val="21"/>
              </w:rPr>
              <w:t>承储计划完成率</w:t>
            </w:r>
            <w:r>
              <w:rPr>
                <w:rFonts w:ascii="仿宋" w:eastAsia="仿宋" w:hAnsi="仿宋" w:cs="仿宋" w:hint="eastAsia"/>
                <w:kern w:val="0"/>
                <w:sz w:val="21"/>
                <w:szCs w:val="21"/>
              </w:rPr>
              <w:t>*</w:t>
            </w:r>
            <w:r>
              <w:rPr>
                <w:rFonts w:eastAsia="仿宋" w:cs="仿宋" w:hint="eastAsia"/>
                <w:kern w:val="0"/>
                <w:sz w:val="21"/>
                <w:szCs w:val="21"/>
              </w:rPr>
              <w:t>10</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sz w:val="21"/>
                <w:szCs w:val="21"/>
              </w:rPr>
            </w:pPr>
            <w:r>
              <w:rPr>
                <w:rFonts w:eastAsia="仿宋" w:cs="仿宋" w:hint="eastAsia"/>
                <w:kern w:val="0"/>
                <w:sz w:val="21"/>
                <w:szCs w:val="21"/>
              </w:rPr>
              <w:t>10</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w:t>
            </w:r>
          </w:p>
        </w:tc>
      </w:tr>
      <w:tr w:rsidR="00122B6D">
        <w:trPr>
          <w:trHeight w:val="1276"/>
          <w:jc w:val="center"/>
        </w:trPr>
        <w:tc>
          <w:tcPr>
            <w:tcW w:w="700" w:type="dxa"/>
            <w:tcBorders>
              <w:tl2br w:val="nil"/>
              <w:tr2bl w:val="nil"/>
            </w:tcBorders>
            <w:noWrap/>
            <w:vAlign w:val="center"/>
          </w:tcPr>
          <w:p w:rsidR="00122B6D" w:rsidRDefault="00F01EEF">
            <w:pPr>
              <w:widowControl w:val="0"/>
              <w:adjustRightInd w:val="0"/>
              <w:snapToGrid w:val="0"/>
              <w:spacing w:line="240" w:lineRule="auto"/>
              <w:jc w:val="center"/>
              <w:rPr>
                <w:rFonts w:ascii="仿宋" w:eastAsia="仿宋" w:hAnsi="仿宋" w:cs="仿宋"/>
                <w:sz w:val="21"/>
                <w:szCs w:val="21"/>
              </w:rPr>
            </w:pPr>
            <w:r>
              <w:rPr>
                <w:rFonts w:ascii="仿宋" w:eastAsia="仿宋" w:hAnsi="仿宋" w:cs="仿宋" w:hint="eastAsia"/>
                <w:sz w:val="21"/>
                <w:szCs w:val="21"/>
              </w:rPr>
              <w:lastRenderedPageBreak/>
              <w:t>E</w:t>
            </w:r>
            <w:r>
              <w:rPr>
                <w:rFonts w:ascii="仿宋" w:eastAsia="仿宋" w:hAnsi="仿宋" w:cs="仿宋" w:hint="eastAsia"/>
                <w:sz w:val="21"/>
                <w:szCs w:val="21"/>
              </w:rPr>
              <w:t>满意度（</w:t>
            </w:r>
            <w:r>
              <w:rPr>
                <w:rFonts w:ascii="仿宋" w:eastAsia="仿宋" w:hAnsi="仿宋" w:cs="仿宋" w:hint="eastAsia"/>
                <w:sz w:val="21"/>
                <w:szCs w:val="21"/>
              </w:rPr>
              <w:t>10</w:t>
            </w:r>
            <w:r>
              <w:rPr>
                <w:rFonts w:ascii="仿宋" w:eastAsia="仿宋" w:hAnsi="仿宋" w:cs="仿宋" w:hint="eastAsia"/>
                <w:sz w:val="21"/>
                <w:szCs w:val="21"/>
              </w:rPr>
              <w:t>分）</w:t>
            </w:r>
          </w:p>
        </w:tc>
        <w:tc>
          <w:tcPr>
            <w:tcW w:w="65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E1</w:t>
            </w:r>
            <w:r>
              <w:rPr>
                <w:rFonts w:ascii="仿宋" w:eastAsia="仿宋" w:hAnsi="仿宋" w:cs="仿宋" w:hint="eastAsia"/>
                <w:kern w:val="0"/>
                <w:sz w:val="21"/>
                <w:szCs w:val="21"/>
              </w:rPr>
              <w:t>服务对象满意度</w:t>
            </w:r>
          </w:p>
        </w:tc>
        <w:tc>
          <w:tcPr>
            <w:tcW w:w="1142"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ascii="仿宋" w:eastAsia="仿宋" w:hAnsi="仿宋" w:cs="仿宋" w:hint="eastAsia"/>
                <w:sz w:val="21"/>
                <w:szCs w:val="21"/>
              </w:rPr>
              <w:t>E11</w:t>
            </w:r>
            <w:r>
              <w:rPr>
                <w:rFonts w:ascii="仿宋" w:eastAsia="仿宋" w:hAnsi="仿宋" w:cs="仿宋" w:hint="eastAsia"/>
                <w:sz w:val="21"/>
                <w:szCs w:val="21"/>
              </w:rPr>
              <w:t>承储企业满意度</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sz w:val="21"/>
                <w:szCs w:val="21"/>
              </w:rPr>
              <w:t>100</w:t>
            </w:r>
            <w:r>
              <w:rPr>
                <w:rFonts w:ascii="仿宋" w:eastAsia="仿宋" w:hAnsi="仿宋" w:cs="仿宋" w:hint="eastAsia"/>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sz w:val="21"/>
                <w:szCs w:val="21"/>
              </w:rPr>
            </w:pPr>
            <w:r>
              <w:rPr>
                <w:rFonts w:eastAsia="仿宋" w:cs="仿宋" w:hint="eastAsia"/>
                <w:kern w:val="0"/>
                <w:sz w:val="21"/>
                <w:szCs w:val="21"/>
              </w:rPr>
              <w:t>10</w:t>
            </w:r>
          </w:p>
        </w:tc>
        <w:tc>
          <w:tcPr>
            <w:tcW w:w="5011"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b/>
                <w:bCs/>
                <w:sz w:val="21"/>
                <w:szCs w:val="21"/>
              </w:rPr>
            </w:pPr>
            <w:r>
              <w:rPr>
                <w:rFonts w:ascii="仿宋" w:eastAsia="仿宋" w:hAnsi="仿宋" w:cs="仿宋" w:hint="eastAsia"/>
                <w:b/>
                <w:bCs/>
                <w:kern w:val="0"/>
                <w:sz w:val="21"/>
                <w:szCs w:val="21"/>
              </w:rPr>
              <w:t>指标解释：</w:t>
            </w:r>
            <w:r>
              <w:rPr>
                <w:rFonts w:ascii="仿宋" w:eastAsia="仿宋" w:hAnsi="仿宋" w:cs="仿宋" w:hint="eastAsia"/>
                <w:sz w:val="21"/>
                <w:szCs w:val="21"/>
              </w:rPr>
              <w:t>承储企业满意度</w:t>
            </w:r>
            <w:r>
              <w:rPr>
                <w:rFonts w:ascii="仿宋" w:eastAsia="仿宋" w:hAnsi="仿宋" w:cs="仿宋" w:hint="eastAsia"/>
                <w:sz w:val="21"/>
                <w:szCs w:val="21"/>
              </w:rPr>
              <w:t>=</w:t>
            </w:r>
            <w:r>
              <w:rPr>
                <w:rFonts w:ascii="仿宋" w:eastAsia="仿宋" w:hAnsi="仿宋" w:cs="仿宋" w:hint="eastAsia"/>
                <w:sz w:val="21"/>
                <w:szCs w:val="21"/>
              </w:rPr>
              <w:t>表示满意的人员数÷调查人员总数×</w:t>
            </w:r>
            <w:r>
              <w:rPr>
                <w:rFonts w:ascii="仿宋" w:eastAsia="仿宋" w:hAnsi="仿宋" w:cs="仿宋" w:hint="eastAsia"/>
                <w:sz w:val="21"/>
                <w:szCs w:val="21"/>
              </w:rPr>
              <w:t>100%</w:t>
            </w:r>
          </w:p>
        </w:tc>
        <w:tc>
          <w:tcPr>
            <w:tcW w:w="3737" w:type="dxa"/>
            <w:tcBorders>
              <w:tl2br w:val="nil"/>
              <w:tr2bl w:val="nil"/>
            </w:tcBorders>
            <w:noWrap/>
            <w:vAlign w:val="center"/>
          </w:tcPr>
          <w:p w:rsidR="00122B6D" w:rsidRDefault="00F01EEF">
            <w:pPr>
              <w:widowControl w:val="0"/>
              <w:adjustRightInd w:val="0"/>
              <w:snapToGrid w:val="0"/>
              <w:spacing w:line="240" w:lineRule="auto"/>
              <w:jc w:val="left"/>
              <w:textAlignment w:val="center"/>
              <w:rPr>
                <w:rFonts w:ascii="仿宋" w:eastAsia="仿宋" w:hAnsi="仿宋" w:cs="仿宋"/>
                <w:sz w:val="21"/>
                <w:szCs w:val="21"/>
              </w:rPr>
            </w:pPr>
            <w:r>
              <w:rPr>
                <w:rFonts w:ascii="仿宋" w:eastAsia="仿宋" w:hAnsi="仿宋" w:cs="仿宋" w:hint="eastAsia"/>
                <w:kern w:val="0"/>
                <w:sz w:val="21"/>
                <w:szCs w:val="21"/>
              </w:rPr>
              <w:t>得分</w:t>
            </w:r>
            <w:r>
              <w:rPr>
                <w:rFonts w:ascii="仿宋" w:eastAsia="仿宋" w:hAnsi="仿宋" w:cs="仿宋" w:hint="eastAsia"/>
                <w:kern w:val="0"/>
                <w:sz w:val="21"/>
                <w:szCs w:val="21"/>
              </w:rPr>
              <w:t>=</w:t>
            </w:r>
            <w:r>
              <w:rPr>
                <w:rFonts w:ascii="仿宋" w:eastAsia="仿宋" w:hAnsi="仿宋" w:cs="仿宋" w:hint="eastAsia"/>
                <w:sz w:val="21"/>
                <w:szCs w:val="21"/>
              </w:rPr>
              <w:t>承储企业满意度</w:t>
            </w:r>
            <w:r>
              <w:rPr>
                <w:rFonts w:ascii="仿宋" w:eastAsia="仿宋" w:hAnsi="仿宋" w:cs="仿宋" w:hint="eastAsia"/>
                <w:kern w:val="0"/>
                <w:sz w:val="21"/>
                <w:szCs w:val="21"/>
              </w:rPr>
              <w:t>*</w:t>
            </w:r>
            <w:r>
              <w:rPr>
                <w:rFonts w:eastAsia="仿宋" w:cs="仿宋" w:hint="eastAsia"/>
                <w:kern w:val="0"/>
                <w:sz w:val="21"/>
                <w:szCs w:val="21"/>
              </w:rPr>
              <w:t>10</w:t>
            </w:r>
            <w:r>
              <w:rPr>
                <w:rFonts w:ascii="仿宋" w:eastAsia="仿宋" w:hAnsi="仿宋" w:cs="仿宋" w:hint="eastAsia"/>
                <w:kern w:val="0"/>
                <w:sz w:val="21"/>
                <w:szCs w:val="21"/>
              </w:rPr>
              <w:t>分。</w:t>
            </w:r>
          </w:p>
        </w:tc>
        <w:tc>
          <w:tcPr>
            <w:tcW w:w="768" w:type="dxa"/>
            <w:tcBorders>
              <w:tl2br w:val="nil"/>
              <w:tr2bl w:val="nil"/>
            </w:tcBorders>
            <w:noWrap/>
            <w:vAlign w:val="center"/>
          </w:tcPr>
          <w:p w:rsidR="00122B6D" w:rsidRDefault="00F01EEF">
            <w:pPr>
              <w:widowControl w:val="0"/>
              <w:jc w:val="center"/>
              <w:textAlignment w:val="center"/>
              <w:rPr>
                <w:rFonts w:ascii="仿宋" w:eastAsia="仿宋" w:hAnsi="仿宋" w:cs="仿宋"/>
                <w:sz w:val="21"/>
                <w:szCs w:val="21"/>
              </w:rPr>
            </w:pPr>
            <w:r>
              <w:rPr>
                <w:rFonts w:eastAsia="仿宋" w:cs="仿宋" w:hint="eastAsia"/>
                <w:kern w:val="0"/>
                <w:sz w:val="21"/>
                <w:szCs w:val="21"/>
              </w:rPr>
              <w:t>9.69</w:t>
            </w:r>
          </w:p>
        </w:tc>
        <w:tc>
          <w:tcPr>
            <w:tcW w:w="1333" w:type="dxa"/>
            <w:tcBorders>
              <w:tl2br w:val="nil"/>
              <w:tr2bl w:val="nil"/>
            </w:tcBorders>
            <w:noWrap/>
            <w:vAlign w:val="center"/>
          </w:tcPr>
          <w:p w:rsidR="00122B6D" w:rsidRDefault="00F01EEF">
            <w:pPr>
              <w:widowControl w:val="0"/>
              <w:adjustRightInd w:val="0"/>
              <w:snapToGrid w:val="0"/>
              <w:spacing w:line="240" w:lineRule="auto"/>
              <w:textAlignment w:val="center"/>
              <w:rPr>
                <w:rFonts w:ascii="仿宋" w:eastAsia="仿宋" w:hAnsi="仿宋" w:cs="仿宋"/>
                <w:sz w:val="21"/>
                <w:szCs w:val="21"/>
              </w:rPr>
            </w:pPr>
            <w:r>
              <w:rPr>
                <w:rFonts w:ascii="仿宋" w:eastAsia="仿宋" w:hAnsi="仿宋" w:cs="仿宋" w:hint="eastAsia"/>
                <w:sz w:val="21"/>
                <w:szCs w:val="21"/>
              </w:rPr>
              <w:t>满意度</w:t>
            </w:r>
            <w:r>
              <w:rPr>
                <w:rFonts w:ascii="仿宋" w:eastAsia="仿宋" w:hAnsi="仿宋" w:cs="仿宋" w:hint="eastAsia"/>
                <w:sz w:val="21"/>
                <w:szCs w:val="21"/>
              </w:rPr>
              <w:t>96.88%</w:t>
            </w:r>
          </w:p>
        </w:tc>
      </w:tr>
      <w:tr w:rsidR="00122B6D">
        <w:trPr>
          <w:trHeight w:val="496"/>
          <w:jc w:val="center"/>
        </w:trPr>
        <w:tc>
          <w:tcPr>
            <w:tcW w:w="2494" w:type="dxa"/>
            <w:gridSpan w:val="3"/>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sz w:val="21"/>
                <w:szCs w:val="21"/>
              </w:rPr>
              <w:t>总分</w:t>
            </w:r>
          </w:p>
        </w:tc>
        <w:tc>
          <w:tcPr>
            <w:tcW w:w="69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sz w:val="21"/>
                <w:szCs w:val="21"/>
              </w:rPr>
              <w:t>-</w:t>
            </w:r>
          </w:p>
        </w:tc>
        <w:tc>
          <w:tcPr>
            <w:tcW w:w="74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kern w:val="0"/>
                <w:sz w:val="21"/>
                <w:szCs w:val="21"/>
              </w:rPr>
            </w:pPr>
            <w:r>
              <w:rPr>
                <w:rFonts w:eastAsia="仿宋" w:cs="仿宋" w:hint="eastAsia"/>
                <w:b/>
                <w:bCs/>
                <w:kern w:val="0"/>
                <w:sz w:val="21"/>
                <w:szCs w:val="21"/>
              </w:rPr>
              <w:t>100</w:t>
            </w:r>
          </w:p>
        </w:tc>
        <w:tc>
          <w:tcPr>
            <w:tcW w:w="5011"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kern w:val="0"/>
                <w:sz w:val="21"/>
                <w:szCs w:val="21"/>
              </w:rPr>
            </w:pPr>
            <w:r>
              <w:rPr>
                <w:rFonts w:ascii="仿宋" w:eastAsia="仿宋" w:hAnsi="仿宋" w:cs="仿宋" w:hint="eastAsia"/>
                <w:b/>
                <w:bCs/>
                <w:kern w:val="0"/>
                <w:sz w:val="21"/>
                <w:szCs w:val="21"/>
              </w:rPr>
              <w:t>--</w:t>
            </w:r>
          </w:p>
        </w:tc>
        <w:tc>
          <w:tcPr>
            <w:tcW w:w="3737"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color w:val="FF0000"/>
                <w:sz w:val="21"/>
                <w:szCs w:val="21"/>
              </w:rPr>
            </w:pPr>
            <w:r>
              <w:rPr>
                <w:rFonts w:ascii="仿宋" w:eastAsia="仿宋" w:hAnsi="仿宋" w:cs="仿宋" w:hint="eastAsia"/>
                <w:b/>
                <w:bCs/>
                <w:sz w:val="21"/>
                <w:szCs w:val="21"/>
              </w:rPr>
              <w:t>--</w:t>
            </w:r>
          </w:p>
        </w:tc>
        <w:tc>
          <w:tcPr>
            <w:tcW w:w="768"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sz w:val="21"/>
                <w:szCs w:val="21"/>
              </w:rPr>
              <w:t>98.49</w:t>
            </w:r>
          </w:p>
        </w:tc>
        <w:tc>
          <w:tcPr>
            <w:tcW w:w="1333" w:type="dxa"/>
            <w:tcBorders>
              <w:tl2br w:val="nil"/>
              <w:tr2bl w:val="nil"/>
            </w:tcBorders>
            <w:noWrap/>
            <w:vAlign w:val="center"/>
          </w:tcPr>
          <w:p w:rsidR="00122B6D" w:rsidRDefault="00F01EEF">
            <w:pPr>
              <w:widowControl w:val="0"/>
              <w:adjustRightInd w:val="0"/>
              <w:snapToGrid w:val="0"/>
              <w:spacing w:line="240" w:lineRule="auto"/>
              <w:jc w:val="center"/>
              <w:textAlignment w:val="center"/>
              <w:rPr>
                <w:rFonts w:ascii="仿宋" w:eastAsia="仿宋" w:hAnsi="仿宋" w:cs="仿宋"/>
                <w:b/>
                <w:bCs/>
                <w:sz w:val="21"/>
                <w:szCs w:val="21"/>
              </w:rPr>
            </w:pPr>
            <w:r>
              <w:rPr>
                <w:rFonts w:ascii="仿宋" w:eastAsia="仿宋" w:hAnsi="仿宋" w:cs="仿宋" w:hint="eastAsia"/>
                <w:b/>
                <w:bCs/>
                <w:sz w:val="21"/>
                <w:szCs w:val="21"/>
              </w:rPr>
              <w:t>-</w:t>
            </w:r>
          </w:p>
        </w:tc>
      </w:tr>
    </w:tbl>
    <w:p w:rsidR="00122B6D" w:rsidRDefault="00122B6D">
      <w:pPr>
        <w:widowControl w:val="0"/>
        <w:rPr>
          <w:color w:val="FF0000"/>
        </w:rPr>
        <w:sectPr w:rsidR="00122B6D">
          <w:pgSz w:w="16838" w:h="11906" w:orient="landscape"/>
          <w:pgMar w:top="2098" w:right="1587" w:bottom="1984" w:left="1587" w:header="851" w:footer="992" w:gutter="0"/>
          <w:cols w:space="720"/>
          <w:docGrid w:type="lines" w:linePitch="435"/>
        </w:sectPr>
      </w:pPr>
    </w:p>
    <w:p w:rsidR="00122B6D" w:rsidRDefault="00F01EEF">
      <w:pPr>
        <w:pStyle w:val="21"/>
        <w:widowControl w:val="0"/>
        <w:snapToGrid w:val="0"/>
        <w:spacing w:after="0"/>
        <w:ind w:leftChars="0" w:left="0" w:firstLineChars="0" w:firstLine="0"/>
        <w:outlineLvl w:val="1"/>
        <w:rPr>
          <w:rFonts w:ascii="Times New Roman" w:eastAsia="方正楷体_GBK" w:hAnsi="Times New Roman"/>
          <w:sz w:val="32"/>
          <w:szCs w:val="32"/>
        </w:rPr>
      </w:pPr>
      <w:bookmarkStart w:id="24" w:name="_Toc14120"/>
      <w:bookmarkStart w:id="25" w:name="_Toc17378"/>
      <w:bookmarkStart w:id="26" w:name="_Toc4616"/>
      <w:bookmarkStart w:id="27" w:name="_Toc9291"/>
      <w:bookmarkStart w:id="28" w:name="_Toc14912"/>
      <w:bookmarkStart w:id="29" w:name="_Toc27388"/>
      <w:bookmarkStart w:id="30" w:name="_Toc501"/>
      <w:bookmarkStart w:id="31" w:name="_Toc13506"/>
      <w:bookmarkStart w:id="32" w:name="_Toc13205"/>
      <w:r>
        <w:rPr>
          <w:rFonts w:ascii="Times New Roman" w:eastAsia="方正楷体_GBK" w:hAnsi="Times New Roman"/>
          <w:sz w:val="32"/>
          <w:szCs w:val="32"/>
        </w:rPr>
        <w:lastRenderedPageBreak/>
        <w:t>满意度问卷报告</w:t>
      </w:r>
      <w:bookmarkEnd w:id="24"/>
      <w:bookmarkEnd w:id="25"/>
      <w:bookmarkEnd w:id="26"/>
      <w:bookmarkEnd w:id="27"/>
      <w:bookmarkEnd w:id="28"/>
      <w:bookmarkEnd w:id="29"/>
      <w:bookmarkEnd w:id="30"/>
      <w:bookmarkEnd w:id="31"/>
      <w:bookmarkEnd w:id="32"/>
    </w:p>
    <w:p w:rsidR="00122B6D" w:rsidRDefault="00122B6D">
      <w:pPr>
        <w:pStyle w:val="21"/>
        <w:widowControl w:val="0"/>
        <w:snapToGrid w:val="0"/>
        <w:spacing w:after="0"/>
        <w:ind w:leftChars="0" w:left="0" w:firstLineChars="0" w:firstLine="0"/>
        <w:outlineLvl w:val="1"/>
        <w:rPr>
          <w:rFonts w:ascii="Times New Roman" w:eastAsia="方正楷体_GBK" w:hAnsi="Times New Roman"/>
          <w:sz w:val="32"/>
          <w:szCs w:val="32"/>
        </w:rPr>
      </w:pPr>
    </w:p>
    <w:p w:rsidR="00122B6D" w:rsidRDefault="00F01EEF">
      <w:pPr>
        <w:widowControl w:val="0"/>
        <w:adjustRightInd w:val="0"/>
        <w:snapToGrid w:val="0"/>
        <w:jc w:val="center"/>
        <w:rPr>
          <w:rFonts w:eastAsia="仿宋_GB2312"/>
          <w:b/>
          <w:bCs/>
          <w:kern w:val="0"/>
        </w:rPr>
      </w:pPr>
      <w:r>
        <w:rPr>
          <w:rFonts w:eastAsia="仿宋_GB2312"/>
          <w:b/>
          <w:bCs/>
          <w:kern w:val="0"/>
        </w:rPr>
        <w:t>承储企业满意度调查报告</w:t>
      </w:r>
    </w:p>
    <w:p w:rsidR="00122B6D" w:rsidRDefault="00F01EEF">
      <w:pPr>
        <w:widowControl w:val="0"/>
        <w:adjustRightInd w:val="0"/>
        <w:snapToGrid w:val="0"/>
        <w:ind w:firstLineChars="200" w:firstLine="640"/>
        <w:rPr>
          <w:szCs w:val="22"/>
        </w:rPr>
      </w:pPr>
      <w:r>
        <w:rPr>
          <w:szCs w:val="22"/>
        </w:rPr>
        <w:t>为客观测定</w:t>
      </w:r>
      <w:r>
        <w:rPr>
          <w:rFonts w:hint="eastAsia"/>
          <w:szCs w:val="22"/>
        </w:rPr>
        <w:t>2025</w:t>
      </w:r>
      <w:r>
        <w:rPr>
          <w:rFonts w:hint="eastAsia"/>
          <w:szCs w:val="22"/>
        </w:rPr>
        <w:t>年</w:t>
      </w:r>
      <w:r>
        <w:rPr>
          <w:szCs w:val="22"/>
        </w:rPr>
        <w:t>粮食专项补助资金管理效果，本次绩效评价根据公共财政理论原理引入</w:t>
      </w:r>
      <w:r>
        <w:rPr>
          <w:szCs w:val="22"/>
        </w:rPr>
        <w:t>“</w:t>
      </w:r>
      <w:r>
        <w:rPr>
          <w:szCs w:val="22"/>
        </w:rPr>
        <w:t>满意度</w:t>
      </w:r>
      <w:r>
        <w:rPr>
          <w:szCs w:val="22"/>
        </w:rPr>
        <w:t>”</w:t>
      </w:r>
      <w:r>
        <w:rPr>
          <w:szCs w:val="22"/>
        </w:rPr>
        <w:t>指标，对粮食承储企业相关人员进行满意度调查。</w:t>
      </w:r>
    </w:p>
    <w:p w:rsidR="00122B6D" w:rsidRDefault="00F01EEF">
      <w:pPr>
        <w:pStyle w:val="af3"/>
        <w:widowControl w:val="0"/>
        <w:adjustRightInd w:val="0"/>
        <w:snapToGrid w:val="0"/>
        <w:ind w:firstLineChars="0" w:firstLine="0"/>
        <w:jc w:val="left"/>
        <w:rPr>
          <w:rFonts w:eastAsia="仿宋_GB2312"/>
          <w:b/>
          <w:bCs/>
          <w:kern w:val="0"/>
        </w:rPr>
      </w:pPr>
      <w:bookmarkStart w:id="33" w:name="_Toc28098"/>
      <w:bookmarkStart w:id="34" w:name="_Toc11656"/>
      <w:bookmarkStart w:id="35" w:name="_Toc21036"/>
      <w:bookmarkStart w:id="36" w:name="_Toc11821"/>
      <w:bookmarkStart w:id="37" w:name="_Toc9431"/>
      <w:bookmarkStart w:id="38" w:name="_Toc26347"/>
      <w:r>
        <w:rPr>
          <w:rFonts w:eastAsia="仿宋_GB2312"/>
          <w:b/>
          <w:bCs/>
          <w:kern w:val="0"/>
        </w:rPr>
        <w:t>一、研究设计</w:t>
      </w:r>
      <w:bookmarkEnd w:id="33"/>
      <w:bookmarkEnd w:id="34"/>
      <w:bookmarkEnd w:id="35"/>
      <w:bookmarkEnd w:id="36"/>
      <w:bookmarkEnd w:id="37"/>
      <w:bookmarkEnd w:id="38"/>
    </w:p>
    <w:p w:rsidR="00122B6D" w:rsidRDefault="00F01EEF">
      <w:pPr>
        <w:pStyle w:val="af3"/>
        <w:widowControl w:val="0"/>
        <w:adjustRightInd w:val="0"/>
        <w:snapToGrid w:val="0"/>
        <w:ind w:firstLineChars="0" w:firstLine="0"/>
        <w:jc w:val="left"/>
        <w:rPr>
          <w:szCs w:val="22"/>
        </w:rPr>
      </w:pPr>
      <w:bookmarkStart w:id="39" w:name="_Toc13664"/>
      <w:bookmarkStart w:id="40" w:name="_Toc4502"/>
      <w:bookmarkStart w:id="41" w:name="_Toc25902"/>
      <w:bookmarkStart w:id="42" w:name="_Toc24800"/>
      <w:bookmarkStart w:id="43" w:name="_Toc26995"/>
      <w:bookmarkStart w:id="44" w:name="_Toc7420"/>
      <w:r>
        <w:rPr>
          <w:szCs w:val="22"/>
        </w:rPr>
        <w:t>（一）调查对象与调查方法</w:t>
      </w:r>
      <w:bookmarkEnd w:id="39"/>
      <w:bookmarkEnd w:id="40"/>
      <w:bookmarkEnd w:id="41"/>
      <w:bookmarkEnd w:id="42"/>
      <w:bookmarkEnd w:id="43"/>
      <w:bookmarkEnd w:id="44"/>
    </w:p>
    <w:p w:rsidR="00122B6D" w:rsidRDefault="00F01EEF">
      <w:pPr>
        <w:widowControl w:val="0"/>
        <w:adjustRightInd w:val="0"/>
        <w:snapToGrid w:val="0"/>
        <w:ind w:firstLineChars="200" w:firstLine="640"/>
        <w:rPr>
          <w:szCs w:val="22"/>
        </w:rPr>
      </w:pPr>
      <w:r>
        <w:rPr>
          <w:szCs w:val="22"/>
        </w:rPr>
        <w:t>本次满意度调查的调查对象为各储备粮承储企业相关人员，共发放问卷</w:t>
      </w:r>
      <w:r>
        <w:rPr>
          <w:rFonts w:hint="eastAsia"/>
          <w:szCs w:val="22"/>
        </w:rPr>
        <w:t>14</w:t>
      </w:r>
      <w:r>
        <w:rPr>
          <w:szCs w:val="22"/>
        </w:rPr>
        <w:t>份，实际回收</w:t>
      </w:r>
      <w:r>
        <w:rPr>
          <w:rFonts w:hint="eastAsia"/>
          <w:szCs w:val="22"/>
        </w:rPr>
        <w:t>14</w:t>
      </w:r>
      <w:r>
        <w:rPr>
          <w:szCs w:val="22"/>
        </w:rPr>
        <w:t>份，有效问卷回收率为</w:t>
      </w:r>
      <w:r>
        <w:rPr>
          <w:rFonts w:hint="eastAsia"/>
          <w:szCs w:val="22"/>
        </w:rPr>
        <w:t>100</w:t>
      </w:r>
      <w:r>
        <w:rPr>
          <w:szCs w:val="22"/>
        </w:rPr>
        <w:t>%</w:t>
      </w:r>
      <w:r>
        <w:rPr>
          <w:szCs w:val="22"/>
        </w:rPr>
        <w:t>。</w:t>
      </w:r>
    </w:p>
    <w:p w:rsidR="00122B6D" w:rsidRDefault="00F01EEF">
      <w:pPr>
        <w:pStyle w:val="af3"/>
        <w:widowControl w:val="0"/>
        <w:adjustRightInd w:val="0"/>
        <w:snapToGrid w:val="0"/>
        <w:ind w:firstLineChars="0" w:firstLine="0"/>
        <w:jc w:val="left"/>
        <w:rPr>
          <w:szCs w:val="22"/>
        </w:rPr>
      </w:pPr>
      <w:bookmarkStart w:id="45" w:name="_Toc21998"/>
      <w:bookmarkStart w:id="46" w:name="_Toc4779"/>
      <w:bookmarkStart w:id="47" w:name="_Toc32141"/>
      <w:bookmarkStart w:id="48" w:name="_Toc4620"/>
      <w:bookmarkStart w:id="49" w:name="_Toc17749"/>
      <w:bookmarkStart w:id="50" w:name="_Toc11016"/>
      <w:r>
        <w:rPr>
          <w:szCs w:val="22"/>
        </w:rPr>
        <w:t>（二）调查问卷设计</w:t>
      </w:r>
      <w:bookmarkEnd w:id="45"/>
      <w:bookmarkEnd w:id="46"/>
      <w:bookmarkEnd w:id="47"/>
      <w:bookmarkEnd w:id="48"/>
      <w:bookmarkEnd w:id="49"/>
      <w:bookmarkEnd w:id="50"/>
    </w:p>
    <w:p w:rsidR="00122B6D" w:rsidRDefault="00F01EEF">
      <w:pPr>
        <w:widowControl w:val="0"/>
        <w:adjustRightInd w:val="0"/>
        <w:snapToGrid w:val="0"/>
        <w:ind w:firstLineChars="200" w:firstLine="640"/>
        <w:rPr>
          <w:szCs w:val="22"/>
        </w:rPr>
      </w:pPr>
      <w:r>
        <w:rPr>
          <w:szCs w:val="22"/>
        </w:rPr>
        <w:t>满意度问题，包括对粮油市场稳定情况、粮食安全保障情况、市级补贴资金到位及时情况、补贴标准缓解企业成本压力情况</w:t>
      </w:r>
      <w:r>
        <w:rPr>
          <w:rFonts w:hint="eastAsia"/>
          <w:szCs w:val="22"/>
        </w:rPr>
        <w:t>，同时</w:t>
      </w:r>
      <w:r>
        <w:rPr>
          <w:szCs w:val="22"/>
        </w:rPr>
        <w:t>通过开放式问答搜集意见和建议。</w:t>
      </w:r>
    </w:p>
    <w:p w:rsidR="00122B6D" w:rsidRDefault="00F01EEF">
      <w:pPr>
        <w:pStyle w:val="af3"/>
        <w:widowControl w:val="0"/>
        <w:adjustRightInd w:val="0"/>
        <w:snapToGrid w:val="0"/>
        <w:ind w:firstLineChars="0" w:firstLine="0"/>
        <w:jc w:val="left"/>
        <w:rPr>
          <w:rFonts w:eastAsia="仿宋_GB2312"/>
          <w:b/>
          <w:bCs/>
          <w:kern w:val="0"/>
        </w:rPr>
      </w:pPr>
      <w:bookmarkStart w:id="51" w:name="_Toc31854"/>
      <w:bookmarkStart w:id="52" w:name="_Toc30927"/>
      <w:bookmarkStart w:id="53" w:name="_Toc2236"/>
      <w:bookmarkStart w:id="54" w:name="_Toc12930"/>
      <w:bookmarkStart w:id="55" w:name="_Toc31037"/>
      <w:bookmarkStart w:id="56" w:name="_Toc23113"/>
      <w:r>
        <w:rPr>
          <w:rFonts w:eastAsia="仿宋_GB2312"/>
          <w:b/>
          <w:bCs/>
          <w:kern w:val="0"/>
        </w:rPr>
        <w:t>二、调查结果分析</w:t>
      </w:r>
      <w:bookmarkEnd w:id="51"/>
      <w:bookmarkEnd w:id="52"/>
      <w:bookmarkEnd w:id="53"/>
      <w:bookmarkEnd w:id="54"/>
      <w:bookmarkEnd w:id="55"/>
      <w:bookmarkEnd w:id="56"/>
    </w:p>
    <w:p w:rsidR="00122B6D" w:rsidRDefault="00F01EEF">
      <w:pPr>
        <w:widowControl w:val="0"/>
        <w:adjustRightInd w:val="0"/>
        <w:snapToGrid w:val="0"/>
        <w:ind w:firstLineChars="200" w:firstLine="640"/>
        <w:rPr>
          <w:szCs w:val="22"/>
        </w:rPr>
      </w:pPr>
      <w:r>
        <w:rPr>
          <w:szCs w:val="22"/>
        </w:rPr>
        <w:t>通过</w:t>
      </w:r>
      <w:r>
        <w:rPr>
          <w:rFonts w:hint="eastAsia"/>
          <w:szCs w:val="22"/>
        </w:rPr>
        <w:t>企业管理人员</w:t>
      </w:r>
      <w:r>
        <w:rPr>
          <w:szCs w:val="22"/>
        </w:rPr>
        <w:t>人员进行满意度调查，</w:t>
      </w:r>
      <w:r>
        <w:rPr>
          <w:rFonts w:hint="eastAsia"/>
          <w:szCs w:val="22"/>
        </w:rPr>
        <w:t>项目综合满意度为</w:t>
      </w:r>
      <w:r>
        <w:rPr>
          <w:szCs w:val="22"/>
        </w:rPr>
        <w:t>9</w:t>
      </w:r>
      <w:r>
        <w:rPr>
          <w:rFonts w:hint="eastAsia"/>
          <w:szCs w:val="22"/>
        </w:rPr>
        <w:t>6.88</w:t>
      </w:r>
      <w:r>
        <w:rPr>
          <w:szCs w:val="22"/>
        </w:rPr>
        <w:t>%</w:t>
      </w:r>
      <w:r>
        <w:rPr>
          <w:szCs w:val="22"/>
        </w:rPr>
        <w:t>，其中对粮油市场稳定情况的满意度为</w:t>
      </w:r>
      <w:r>
        <w:rPr>
          <w:rFonts w:hint="eastAsia"/>
          <w:szCs w:val="22"/>
        </w:rPr>
        <w:t>100</w:t>
      </w:r>
      <w:r>
        <w:rPr>
          <w:szCs w:val="22"/>
        </w:rPr>
        <w:t>%</w:t>
      </w:r>
      <w:r>
        <w:rPr>
          <w:szCs w:val="22"/>
        </w:rPr>
        <w:t>、粮食安全保障情况的满意度为</w:t>
      </w:r>
      <w:r>
        <w:rPr>
          <w:rFonts w:hint="eastAsia"/>
          <w:szCs w:val="22"/>
        </w:rPr>
        <w:t>100</w:t>
      </w:r>
      <w:r>
        <w:rPr>
          <w:szCs w:val="22"/>
        </w:rPr>
        <w:t>%</w:t>
      </w:r>
      <w:r>
        <w:rPr>
          <w:szCs w:val="22"/>
        </w:rPr>
        <w:t>、市级补贴资金到位及时情况的满意度为</w:t>
      </w:r>
      <w:r>
        <w:rPr>
          <w:szCs w:val="22"/>
        </w:rPr>
        <w:t>94.</w:t>
      </w:r>
      <w:r>
        <w:rPr>
          <w:rFonts w:hint="eastAsia"/>
          <w:szCs w:val="22"/>
        </w:rPr>
        <w:t>64</w:t>
      </w:r>
      <w:r>
        <w:rPr>
          <w:szCs w:val="22"/>
        </w:rPr>
        <w:t>%</w:t>
      </w:r>
      <w:r>
        <w:rPr>
          <w:szCs w:val="22"/>
        </w:rPr>
        <w:t>补贴标准缓解企业成本压力情况的满意度为</w:t>
      </w:r>
      <w:r>
        <w:rPr>
          <w:szCs w:val="22"/>
        </w:rPr>
        <w:t>92.86%</w:t>
      </w:r>
      <w:r>
        <w:rPr>
          <w:rFonts w:hint="eastAsia"/>
          <w:szCs w:val="22"/>
        </w:rPr>
        <w:t>。</w:t>
      </w:r>
      <w:r>
        <w:rPr>
          <w:szCs w:val="22"/>
        </w:rPr>
        <w:t>满意度如下图所示：</w:t>
      </w:r>
    </w:p>
    <w:p w:rsidR="00122B6D" w:rsidRDefault="00122B6D">
      <w:pPr>
        <w:pStyle w:val="af"/>
        <w:ind w:firstLine="640"/>
        <w:rPr>
          <w:rFonts w:ascii="Times New Roman" w:eastAsia="方正仿宋_GBK"/>
          <w:sz w:val="32"/>
          <w:szCs w:val="22"/>
        </w:rPr>
      </w:pPr>
    </w:p>
    <w:p w:rsidR="00122B6D" w:rsidRDefault="00122B6D">
      <w:pPr>
        <w:pStyle w:val="af"/>
        <w:ind w:firstLine="640"/>
        <w:rPr>
          <w:rFonts w:ascii="Times New Roman" w:eastAsia="方正仿宋_GBK"/>
          <w:sz w:val="32"/>
          <w:szCs w:val="22"/>
        </w:rPr>
      </w:pPr>
    </w:p>
    <w:p w:rsidR="00122B6D" w:rsidRDefault="00122B6D">
      <w:pPr>
        <w:pStyle w:val="af"/>
        <w:ind w:firstLine="640"/>
        <w:rPr>
          <w:rFonts w:ascii="Times New Roman" w:eastAsia="方正仿宋_GBK"/>
          <w:sz w:val="32"/>
          <w:szCs w:val="22"/>
        </w:rPr>
      </w:pPr>
    </w:p>
    <w:tbl>
      <w:tblPr>
        <w:tblStyle w:val="af0"/>
        <w:tblW w:w="0" w:type="auto"/>
        <w:tblLayout w:type="fixed"/>
        <w:tblLook w:val="04A0" w:firstRow="1" w:lastRow="0" w:firstColumn="1" w:lastColumn="0" w:noHBand="0" w:noVBand="1"/>
      </w:tblPr>
      <w:tblGrid>
        <w:gridCol w:w="2422"/>
        <w:gridCol w:w="825"/>
        <w:gridCol w:w="825"/>
        <w:gridCol w:w="750"/>
        <w:gridCol w:w="765"/>
        <w:gridCol w:w="675"/>
        <w:gridCol w:w="2686"/>
      </w:tblGrid>
      <w:tr w:rsidR="00122B6D">
        <w:tc>
          <w:tcPr>
            <w:tcW w:w="2422" w:type="dxa"/>
            <w:vAlign w:val="center"/>
          </w:tcPr>
          <w:p w:rsidR="00122B6D" w:rsidRDefault="00F01EEF">
            <w:pPr>
              <w:pStyle w:val="af"/>
              <w:ind w:firstLineChars="0" w:firstLine="0"/>
            </w:pPr>
            <w:r>
              <w:rPr>
                <w:rFonts w:ascii="仿宋" w:eastAsia="仿宋" w:hAnsi="仿宋" w:cs="仿宋" w:hint="eastAsia"/>
                <w:color w:val="000000"/>
                <w:kern w:val="0"/>
                <w:sz w:val="21"/>
                <w:szCs w:val="21"/>
              </w:rPr>
              <w:t>满意度问题</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4</w:t>
            </w:r>
            <w:r>
              <w:rPr>
                <w:rFonts w:ascii="仿宋" w:eastAsia="仿宋" w:hAnsi="仿宋" w:cs="仿宋" w:hint="eastAsia"/>
                <w:color w:val="000000"/>
                <w:kern w:val="0"/>
                <w:sz w:val="21"/>
                <w:szCs w:val="21"/>
              </w:rPr>
              <w:t>分（人数）</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3</w:t>
            </w:r>
            <w:r>
              <w:rPr>
                <w:rFonts w:ascii="仿宋" w:eastAsia="仿宋" w:hAnsi="仿宋" w:cs="仿宋" w:hint="eastAsia"/>
                <w:color w:val="000000"/>
                <w:kern w:val="0"/>
                <w:sz w:val="21"/>
                <w:szCs w:val="21"/>
              </w:rPr>
              <w:t>分（人数）</w:t>
            </w:r>
          </w:p>
        </w:tc>
        <w:tc>
          <w:tcPr>
            <w:tcW w:w="750"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2</w:t>
            </w:r>
            <w:r>
              <w:rPr>
                <w:rFonts w:ascii="仿宋" w:eastAsia="仿宋" w:hAnsi="仿宋" w:cs="仿宋" w:hint="eastAsia"/>
                <w:color w:val="000000"/>
                <w:kern w:val="0"/>
                <w:sz w:val="21"/>
                <w:szCs w:val="21"/>
              </w:rPr>
              <w:t>分（人数）</w:t>
            </w:r>
          </w:p>
        </w:tc>
        <w:tc>
          <w:tcPr>
            <w:tcW w:w="76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1</w:t>
            </w:r>
            <w:r>
              <w:rPr>
                <w:rFonts w:ascii="仿宋" w:eastAsia="仿宋" w:hAnsi="仿宋" w:cs="仿宋" w:hint="eastAsia"/>
                <w:color w:val="000000"/>
                <w:kern w:val="0"/>
                <w:sz w:val="21"/>
                <w:szCs w:val="21"/>
              </w:rPr>
              <w:t>分（人数）</w:t>
            </w:r>
          </w:p>
        </w:tc>
        <w:tc>
          <w:tcPr>
            <w:tcW w:w="675" w:type="dxa"/>
            <w:vAlign w:val="center"/>
          </w:tcPr>
          <w:p w:rsidR="00122B6D" w:rsidRDefault="00F01EEF">
            <w:pPr>
              <w:widowControl/>
              <w:jc w:val="center"/>
              <w:textAlignment w:val="center"/>
              <w:rPr>
                <w:rFonts w:eastAsia="宋体"/>
                <w:color w:val="000000"/>
                <w:sz w:val="21"/>
                <w:szCs w:val="21"/>
              </w:rPr>
            </w:pPr>
            <w:r>
              <w:rPr>
                <w:rFonts w:ascii="仿宋" w:eastAsia="仿宋" w:hAnsi="仿宋" w:cs="仿宋"/>
                <w:color w:val="000000"/>
                <w:kern w:val="0"/>
                <w:sz w:val="21"/>
                <w:szCs w:val="21"/>
              </w:rPr>
              <w:t>0</w:t>
            </w:r>
            <w:r>
              <w:rPr>
                <w:rFonts w:ascii="仿宋" w:eastAsia="仿宋" w:hAnsi="仿宋" w:cs="仿宋" w:hint="eastAsia"/>
                <w:color w:val="000000"/>
                <w:kern w:val="0"/>
                <w:sz w:val="21"/>
                <w:szCs w:val="21"/>
              </w:rPr>
              <w:t>分（人数）</w:t>
            </w:r>
          </w:p>
        </w:tc>
        <w:tc>
          <w:tcPr>
            <w:tcW w:w="2686" w:type="dxa"/>
            <w:vAlign w:val="center"/>
          </w:tcPr>
          <w:p w:rsidR="00122B6D" w:rsidRDefault="00F01EEF">
            <w:pPr>
              <w:widowControl/>
              <w:jc w:val="center"/>
              <w:textAlignment w:val="center"/>
              <w:rPr>
                <w:rFonts w:ascii="仿宋" w:eastAsia="仿宋" w:hAnsi="仿宋" w:cs="仿宋"/>
                <w:color w:val="000000"/>
                <w:sz w:val="21"/>
                <w:szCs w:val="21"/>
              </w:rPr>
            </w:pPr>
            <w:r>
              <w:rPr>
                <w:rFonts w:ascii="仿宋" w:eastAsia="仿宋" w:hAnsi="仿宋" w:cs="仿宋" w:hint="eastAsia"/>
                <w:color w:val="000000"/>
                <w:kern w:val="0"/>
                <w:sz w:val="21"/>
                <w:szCs w:val="21"/>
              </w:rPr>
              <w:t>综合满意度</w:t>
            </w:r>
          </w:p>
        </w:tc>
      </w:tr>
      <w:tr w:rsidR="00122B6D">
        <w:trPr>
          <w:trHeight w:val="1505"/>
        </w:trPr>
        <w:tc>
          <w:tcPr>
            <w:tcW w:w="2422" w:type="dxa"/>
            <w:vAlign w:val="center"/>
          </w:tcPr>
          <w:p w:rsidR="00122B6D" w:rsidRDefault="00F01EEF">
            <w:pPr>
              <w:widowControl/>
              <w:jc w:val="left"/>
              <w:textAlignment w:val="center"/>
              <w:rPr>
                <w:rFonts w:ascii="仿宋" w:eastAsia="仿宋" w:hAnsi="仿宋" w:cs="仿宋"/>
                <w:color w:val="000000"/>
                <w:sz w:val="21"/>
                <w:szCs w:val="21"/>
              </w:rPr>
            </w:pPr>
            <w:r>
              <w:rPr>
                <w:rFonts w:ascii="仿宋" w:eastAsia="仿宋" w:hAnsi="仿宋" w:cs="仿宋" w:hint="eastAsia"/>
                <w:color w:val="000000"/>
                <w:kern w:val="0"/>
                <w:sz w:val="21"/>
                <w:szCs w:val="21"/>
              </w:rPr>
              <w:t>您对于南京市当前的粮油市场稳定情况是否满意？</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14</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0</w:t>
            </w:r>
          </w:p>
        </w:tc>
        <w:tc>
          <w:tcPr>
            <w:tcW w:w="750"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76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67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2686"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100</w:t>
            </w:r>
            <w:r>
              <w:rPr>
                <w:rFonts w:eastAsia="宋体"/>
                <w:color w:val="000000"/>
                <w:kern w:val="0"/>
                <w:sz w:val="21"/>
                <w:szCs w:val="21"/>
              </w:rPr>
              <w:t>%</w:t>
            </w:r>
          </w:p>
        </w:tc>
      </w:tr>
      <w:tr w:rsidR="00122B6D">
        <w:tc>
          <w:tcPr>
            <w:tcW w:w="2422" w:type="dxa"/>
          </w:tcPr>
          <w:p w:rsidR="00122B6D" w:rsidRDefault="00F01EEF">
            <w:pPr>
              <w:pStyle w:val="af"/>
              <w:ind w:firstLineChars="0" w:firstLine="0"/>
            </w:pPr>
            <w:r>
              <w:rPr>
                <w:rFonts w:ascii="仿宋" w:eastAsia="仿宋" w:hAnsi="仿宋" w:cs="仿宋" w:hint="eastAsia"/>
                <w:color w:val="000000"/>
                <w:kern w:val="0"/>
                <w:sz w:val="21"/>
                <w:szCs w:val="21"/>
              </w:rPr>
              <w:t>南京市粮食安全保障情况是否满意？</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14</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0</w:t>
            </w:r>
          </w:p>
        </w:tc>
        <w:tc>
          <w:tcPr>
            <w:tcW w:w="750"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76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67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2686"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100</w:t>
            </w:r>
            <w:r>
              <w:rPr>
                <w:rFonts w:eastAsia="宋体"/>
                <w:color w:val="000000"/>
                <w:kern w:val="0"/>
                <w:sz w:val="21"/>
                <w:szCs w:val="21"/>
              </w:rPr>
              <w:t>%</w:t>
            </w:r>
          </w:p>
        </w:tc>
      </w:tr>
      <w:tr w:rsidR="00122B6D">
        <w:tc>
          <w:tcPr>
            <w:tcW w:w="2422" w:type="dxa"/>
            <w:vAlign w:val="center"/>
          </w:tcPr>
          <w:p w:rsidR="00122B6D" w:rsidRDefault="00F01EEF">
            <w:pPr>
              <w:widowControl/>
              <w:jc w:val="left"/>
              <w:textAlignment w:val="center"/>
              <w:rPr>
                <w:rFonts w:ascii="仿宋" w:eastAsia="仿宋" w:hAnsi="仿宋" w:cs="仿宋"/>
                <w:color w:val="000000"/>
                <w:sz w:val="21"/>
                <w:szCs w:val="21"/>
              </w:rPr>
            </w:pPr>
            <w:r>
              <w:rPr>
                <w:rFonts w:ascii="仿宋" w:eastAsia="仿宋" w:hAnsi="仿宋" w:cs="仿宋" w:hint="eastAsia"/>
                <w:color w:val="000000"/>
                <w:kern w:val="0"/>
                <w:sz w:val="21"/>
                <w:szCs w:val="21"/>
              </w:rPr>
              <w:t>您对于发放的市级补贴资金到位及时情况是否满意？</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12</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w:t>
            </w:r>
          </w:p>
        </w:tc>
        <w:tc>
          <w:tcPr>
            <w:tcW w:w="750"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w:t>
            </w:r>
          </w:p>
        </w:tc>
        <w:tc>
          <w:tcPr>
            <w:tcW w:w="76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0</w:t>
            </w:r>
          </w:p>
        </w:tc>
        <w:tc>
          <w:tcPr>
            <w:tcW w:w="67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2686"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94.</w:t>
            </w:r>
            <w:r>
              <w:rPr>
                <w:rFonts w:eastAsia="宋体" w:hint="eastAsia"/>
                <w:color w:val="000000"/>
                <w:kern w:val="0"/>
                <w:sz w:val="21"/>
                <w:szCs w:val="21"/>
              </w:rPr>
              <w:t>64</w:t>
            </w:r>
            <w:r>
              <w:rPr>
                <w:rFonts w:eastAsia="宋体"/>
                <w:color w:val="000000"/>
                <w:kern w:val="0"/>
                <w:sz w:val="21"/>
                <w:szCs w:val="21"/>
              </w:rPr>
              <w:t>%</w:t>
            </w:r>
          </w:p>
        </w:tc>
      </w:tr>
      <w:tr w:rsidR="00122B6D">
        <w:tc>
          <w:tcPr>
            <w:tcW w:w="2422" w:type="dxa"/>
            <w:vAlign w:val="center"/>
          </w:tcPr>
          <w:p w:rsidR="00122B6D" w:rsidRDefault="00F01EEF">
            <w:pPr>
              <w:widowControl/>
              <w:jc w:val="left"/>
              <w:textAlignment w:val="center"/>
              <w:rPr>
                <w:rFonts w:ascii="仿宋" w:eastAsia="仿宋" w:hAnsi="仿宋" w:cs="仿宋"/>
                <w:color w:val="000000"/>
                <w:sz w:val="21"/>
                <w:szCs w:val="21"/>
              </w:rPr>
            </w:pPr>
            <w:r>
              <w:rPr>
                <w:rFonts w:ascii="仿宋" w:eastAsia="仿宋" w:hAnsi="仿宋" w:cs="仿宋" w:hint="eastAsia"/>
                <w:color w:val="000000"/>
                <w:kern w:val="0"/>
                <w:sz w:val="21"/>
                <w:szCs w:val="21"/>
              </w:rPr>
              <w:t>您对于市储备粮补贴标准，缓解企业成本压力情况是否满意？</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10</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4</w:t>
            </w:r>
          </w:p>
        </w:tc>
        <w:tc>
          <w:tcPr>
            <w:tcW w:w="750"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76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0</w:t>
            </w:r>
          </w:p>
        </w:tc>
        <w:tc>
          <w:tcPr>
            <w:tcW w:w="67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2686"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92.86%</w:t>
            </w:r>
          </w:p>
        </w:tc>
      </w:tr>
      <w:tr w:rsidR="00122B6D">
        <w:tc>
          <w:tcPr>
            <w:tcW w:w="2422" w:type="dxa"/>
            <w:vAlign w:val="center"/>
          </w:tcPr>
          <w:p w:rsidR="00122B6D" w:rsidRDefault="00F01EEF">
            <w:pPr>
              <w:widowControl/>
              <w:jc w:val="left"/>
              <w:textAlignment w:val="center"/>
              <w:rPr>
                <w:rFonts w:ascii="仿宋" w:eastAsia="仿宋" w:hAnsi="仿宋" w:cs="仿宋"/>
                <w:color w:val="000000"/>
                <w:sz w:val="21"/>
                <w:szCs w:val="21"/>
              </w:rPr>
            </w:pPr>
            <w:r>
              <w:rPr>
                <w:rFonts w:ascii="仿宋" w:eastAsia="仿宋" w:hAnsi="仿宋" w:cs="仿宋" w:hint="eastAsia"/>
                <w:color w:val="000000"/>
                <w:kern w:val="0"/>
                <w:sz w:val="21"/>
                <w:szCs w:val="21"/>
              </w:rPr>
              <w:t>合计（综合满意度）</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50</w:t>
            </w:r>
          </w:p>
        </w:tc>
        <w:tc>
          <w:tcPr>
            <w:tcW w:w="82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5</w:t>
            </w:r>
          </w:p>
        </w:tc>
        <w:tc>
          <w:tcPr>
            <w:tcW w:w="750"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1</w:t>
            </w:r>
          </w:p>
        </w:tc>
        <w:tc>
          <w:tcPr>
            <w:tcW w:w="765"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0</w:t>
            </w:r>
          </w:p>
        </w:tc>
        <w:tc>
          <w:tcPr>
            <w:tcW w:w="675" w:type="dxa"/>
            <w:vAlign w:val="center"/>
          </w:tcPr>
          <w:p w:rsidR="00122B6D" w:rsidRDefault="00F01EEF">
            <w:pPr>
              <w:widowControl/>
              <w:jc w:val="center"/>
              <w:textAlignment w:val="center"/>
              <w:rPr>
                <w:rFonts w:eastAsia="宋体"/>
                <w:color w:val="000000"/>
                <w:sz w:val="21"/>
                <w:szCs w:val="21"/>
              </w:rPr>
            </w:pPr>
            <w:r>
              <w:rPr>
                <w:rFonts w:eastAsia="宋体"/>
                <w:color w:val="000000"/>
                <w:kern w:val="0"/>
                <w:sz w:val="21"/>
                <w:szCs w:val="21"/>
              </w:rPr>
              <w:t>0</w:t>
            </w:r>
          </w:p>
        </w:tc>
        <w:tc>
          <w:tcPr>
            <w:tcW w:w="2686" w:type="dxa"/>
            <w:vAlign w:val="center"/>
          </w:tcPr>
          <w:p w:rsidR="00122B6D" w:rsidRDefault="00F01EEF">
            <w:pPr>
              <w:widowControl/>
              <w:jc w:val="center"/>
              <w:textAlignment w:val="center"/>
              <w:rPr>
                <w:rFonts w:eastAsia="宋体"/>
                <w:color w:val="000000"/>
                <w:sz w:val="21"/>
                <w:szCs w:val="21"/>
              </w:rPr>
            </w:pPr>
            <w:r>
              <w:rPr>
                <w:rFonts w:eastAsia="宋体" w:hint="eastAsia"/>
                <w:color w:val="000000"/>
                <w:kern w:val="0"/>
                <w:sz w:val="21"/>
                <w:szCs w:val="21"/>
              </w:rPr>
              <w:t>96.88</w:t>
            </w:r>
            <w:r>
              <w:rPr>
                <w:rFonts w:eastAsia="宋体"/>
                <w:color w:val="000000"/>
                <w:kern w:val="0"/>
                <w:sz w:val="21"/>
                <w:szCs w:val="21"/>
              </w:rPr>
              <w:t>%</w:t>
            </w:r>
          </w:p>
        </w:tc>
      </w:tr>
    </w:tbl>
    <w:p w:rsidR="00122B6D" w:rsidRDefault="00F01EEF">
      <w:pPr>
        <w:widowControl w:val="0"/>
        <w:adjustRightInd w:val="0"/>
        <w:snapToGrid w:val="0"/>
        <w:ind w:firstLineChars="200" w:firstLine="420"/>
        <w:rPr>
          <w:szCs w:val="22"/>
        </w:rPr>
      </w:pPr>
      <w:r>
        <w:rPr>
          <w:rFonts w:ascii="仿宋" w:eastAsia="仿宋" w:hAnsi="仿宋" w:cs="仿宋" w:hint="eastAsia"/>
          <w:color w:val="000000"/>
          <w:kern w:val="0"/>
          <w:sz w:val="21"/>
          <w:szCs w:val="21"/>
        </w:rPr>
        <w:t>说明：选项</w:t>
      </w:r>
      <w:r>
        <w:rPr>
          <w:rFonts w:eastAsia="仿宋"/>
          <w:color w:val="000000"/>
          <w:kern w:val="0"/>
          <w:sz w:val="21"/>
          <w:szCs w:val="21"/>
        </w:rPr>
        <w:t>A</w:t>
      </w:r>
      <w:r>
        <w:rPr>
          <w:rFonts w:ascii="仿宋" w:eastAsia="仿宋" w:hAnsi="仿宋" w:cs="仿宋" w:hint="eastAsia"/>
          <w:color w:val="000000"/>
          <w:kern w:val="0"/>
          <w:sz w:val="21"/>
          <w:szCs w:val="21"/>
        </w:rPr>
        <w:t>、</w:t>
      </w:r>
      <w:r>
        <w:rPr>
          <w:rFonts w:eastAsia="仿宋"/>
          <w:color w:val="000000"/>
          <w:kern w:val="0"/>
          <w:sz w:val="21"/>
          <w:szCs w:val="21"/>
        </w:rPr>
        <w:t>B</w:t>
      </w:r>
      <w:r>
        <w:rPr>
          <w:rFonts w:ascii="仿宋" w:eastAsia="仿宋" w:hAnsi="仿宋" w:cs="仿宋" w:hint="eastAsia"/>
          <w:color w:val="000000"/>
          <w:kern w:val="0"/>
          <w:sz w:val="21"/>
          <w:szCs w:val="21"/>
        </w:rPr>
        <w:t>、</w:t>
      </w:r>
      <w:r>
        <w:rPr>
          <w:rFonts w:eastAsia="仿宋"/>
          <w:color w:val="000000"/>
          <w:kern w:val="0"/>
          <w:sz w:val="21"/>
          <w:szCs w:val="21"/>
        </w:rPr>
        <w:t>C</w:t>
      </w:r>
      <w:r>
        <w:rPr>
          <w:rFonts w:ascii="仿宋" w:eastAsia="仿宋" w:hAnsi="仿宋" w:cs="仿宋" w:hint="eastAsia"/>
          <w:color w:val="000000"/>
          <w:kern w:val="0"/>
          <w:sz w:val="21"/>
          <w:szCs w:val="21"/>
        </w:rPr>
        <w:t>、</w:t>
      </w:r>
      <w:r>
        <w:rPr>
          <w:rFonts w:eastAsia="仿宋"/>
          <w:color w:val="000000"/>
          <w:kern w:val="0"/>
          <w:sz w:val="21"/>
          <w:szCs w:val="21"/>
        </w:rPr>
        <w:t>D</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E</w:t>
      </w:r>
      <w:r>
        <w:rPr>
          <w:rFonts w:ascii="仿宋" w:eastAsia="仿宋" w:hAnsi="仿宋" w:cs="仿宋" w:hint="eastAsia"/>
          <w:color w:val="000000"/>
          <w:kern w:val="0"/>
          <w:sz w:val="21"/>
          <w:szCs w:val="21"/>
        </w:rPr>
        <w:t>分别对应分数</w:t>
      </w:r>
      <w:r>
        <w:rPr>
          <w:rFonts w:eastAsia="仿宋" w:cs="仿宋" w:hint="eastAsia"/>
          <w:color w:val="000000"/>
          <w:kern w:val="0"/>
          <w:sz w:val="21"/>
          <w:szCs w:val="21"/>
        </w:rPr>
        <w:t>4</w:t>
      </w:r>
      <w:r>
        <w:rPr>
          <w:rFonts w:ascii="仿宋" w:eastAsia="仿宋" w:hAnsi="仿宋" w:cs="仿宋" w:hint="eastAsia"/>
          <w:color w:val="000000"/>
          <w:kern w:val="0"/>
          <w:sz w:val="21"/>
          <w:szCs w:val="21"/>
        </w:rPr>
        <w:t>分、</w:t>
      </w:r>
      <w:r>
        <w:rPr>
          <w:rFonts w:eastAsia="仿宋"/>
          <w:color w:val="000000"/>
          <w:kern w:val="0"/>
          <w:sz w:val="21"/>
          <w:szCs w:val="21"/>
        </w:rPr>
        <w:t>3</w:t>
      </w:r>
      <w:r>
        <w:rPr>
          <w:rFonts w:ascii="仿宋" w:eastAsia="仿宋" w:hAnsi="仿宋" w:cs="仿宋" w:hint="eastAsia"/>
          <w:color w:val="000000"/>
          <w:kern w:val="0"/>
          <w:sz w:val="21"/>
          <w:szCs w:val="21"/>
        </w:rPr>
        <w:t>分、</w:t>
      </w:r>
      <w:r>
        <w:rPr>
          <w:rFonts w:eastAsia="仿宋" w:cs="仿宋" w:hint="eastAsia"/>
          <w:color w:val="000000"/>
          <w:kern w:val="0"/>
          <w:sz w:val="21"/>
          <w:szCs w:val="21"/>
        </w:rPr>
        <w:t>2</w:t>
      </w:r>
      <w:r>
        <w:rPr>
          <w:rFonts w:ascii="仿宋" w:eastAsia="仿宋" w:hAnsi="仿宋" w:cs="仿宋" w:hint="eastAsia"/>
          <w:color w:val="000000"/>
          <w:kern w:val="0"/>
          <w:sz w:val="21"/>
          <w:szCs w:val="21"/>
        </w:rPr>
        <w:t>分、</w:t>
      </w:r>
      <w:r>
        <w:rPr>
          <w:rFonts w:eastAsia="仿宋" w:cs="仿宋" w:hint="eastAsia"/>
          <w:color w:val="000000"/>
          <w:kern w:val="0"/>
          <w:sz w:val="21"/>
          <w:szCs w:val="21"/>
        </w:rPr>
        <w:t>1</w:t>
      </w:r>
      <w:r>
        <w:rPr>
          <w:rFonts w:ascii="仿宋" w:eastAsia="仿宋" w:hAnsi="仿宋" w:cs="仿宋" w:hint="eastAsia"/>
          <w:color w:val="000000"/>
          <w:kern w:val="0"/>
          <w:sz w:val="21"/>
          <w:szCs w:val="21"/>
        </w:rPr>
        <w:t>分、</w:t>
      </w:r>
      <w:r>
        <w:rPr>
          <w:rFonts w:eastAsia="仿宋" w:cs="仿宋" w:hint="eastAsia"/>
          <w:color w:val="000000"/>
          <w:kern w:val="0"/>
          <w:sz w:val="21"/>
          <w:szCs w:val="21"/>
        </w:rPr>
        <w:t>0</w:t>
      </w:r>
      <w:r>
        <w:rPr>
          <w:rFonts w:ascii="仿宋" w:eastAsia="仿宋" w:hAnsi="仿宋" w:cs="仿宋" w:hint="eastAsia"/>
          <w:color w:val="000000"/>
          <w:kern w:val="0"/>
          <w:sz w:val="21"/>
          <w:szCs w:val="21"/>
        </w:rPr>
        <w:t>分；综合满意度</w:t>
      </w:r>
      <w:r>
        <w:rPr>
          <w:rFonts w:eastAsia="仿宋"/>
          <w:color w:val="000000"/>
          <w:kern w:val="0"/>
          <w:sz w:val="21"/>
          <w:szCs w:val="21"/>
        </w:rPr>
        <w:t>=</w:t>
      </w:r>
      <w:r>
        <w:rPr>
          <w:rFonts w:ascii="仿宋" w:eastAsia="仿宋" w:hAnsi="仿宋" w:cs="仿宋" w:hint="eastAsia"/>
          <w:color w:val="000000"/>
          <w:kern w:val="0"/>
          <w:sz w:val="21"/>
          <w:szCs w:val="21"/>
        </w:rPr>
        <w:t>（选</w:t>
      </w:r>
      <w:r>
        <w:rPr>
          <w:rFonts w:eastAsia="仿宋"/>
          <w:color w:val="000000"/>
          <w:kern w:val="0"/>
          <w:sz w:val="21"/>
          <w:szCs w:val="21"/>
        </w:rPr>
        <w:t>A</w:t>
      </w:r>
      <w:r>
        <w:rPr>
          <w:rFonts w:ascii="仿宋" w:eastAsia="仿宋" w:hAnsi="仿宋" w:cs="仿宋" w:hint="eastAsia"/>
          <w:color w:val="000000"/>
          <w:kern w:val="0"/>
          <w:sz w:val="21"/>
          <w:szCs w:val="21"/>
        </w:rPr>
        <w:t>项人数</w:t>
      </w:r>
      <w:r>
        <w:rPr>
          <w:rFonts w:eastAsia="仿宋"/>
          <w:color w:val="000000"/>
          <w:kern w:val="0"/>
          <w:sz w:val="21"/>
          <w:szCs w:val="21"/>
        </w:rPr>
        <w:t>*4</w:t>
      </w:r>
      <w:r>
        <w:rPr>
          <w:rFonts w:ascii="仿宋" w:eastAsia="仿宋" w:hAnsi="仿宋" w:cs="仿宋" w:hint="eastAsia"/>
          <w:color w:val="000000"/>
          <w:kern w:val="0"/>
          <w:sz w:val="21"/>
          <w:szCs w:val="21"/>
        </w:rPr>
        <w:t>分</w:t>
      </w:r>
      <w:r>
        <w:rPr>
          <w:rFonts w:eastAsia="仿宋"/>
          <w:color w:val="000000"/>
          <w:kern w:val="0"/>
          <w:sz w:val="21"/>
          <w:szCs w:val="21"/>
        </w:rPr>
        <w:t>+</w:t>
      </w:r>
      <w:r>
        <w:rPr>
          <w:rFonts w:ascii="仿宋" w:eastAsia="仿宋" w:hAnsi="仿宋" w:cs="仿宋" w:hint="eastAsia"/>
          <w:color w:val="000000"/>
          <w:kern w:val="0"/>
          <w:sz w:val="21"/>
          <w:szCs w:val="21"/>
        </w:rPr>
        <w:t>选</w:t>
      </w:r>
      <w:r>
        <w:rPr>
          <w:rFonts w:eastAsia="仿宋"/>
          <w:color w:val="000000"/>
          <w:kern w:val="0"/>
          <w:sz w:val="21"/>
          <w:szCs w:val="21"/>
        </w:rPr>
        <w:t>B</w:t>
      </w:r>
      <w:r>
        <w:rPr>
          <w:rFonts w:ascii="仿宋" w:eastAsia="仿宋" w:hAnsi="仿宋" w:cs="仿宋" w:hint="eastAsia"/>
          <w:color w:val="000000"/>
          <w:kern w:val="0"/>
          <w:sz w:val="21"/>
          <w:szCs w:val="21"/>
        </w:rPr>
        <w:t>项人数</w:t>
      </w:r>
      <w:r>
        <w:rPr>
          <w:rFonts w:eastAsia="仿宋"/>
          <w:color w:val="000000"/>
          <w:kern w:val="0"/>
          <w:sz w:val="21"/>
          <w:szCs w:val="21"/>
        </w:rPr>
        <w:t>*3</w:t>
      </w:r>
      <w:r>
        <w:rPr>
          <w:rFonts w:ascii="仿宋" w:eastAsia="仿宋" w:hAnsi="仿宋" w:cs="仿宋" w:hint="eastAsia"/>
          <w:color w:val="000000"/>
          <w:kern w:val="0"/>
          <w:sz w:val="21"/>
          <w:szCs w:val="21"/>
        </w:rPr>
        <w:t>分</w:t>
      </w:r>
      <w:r>
        <w:rPr>
          <w:rFonts w:eastAsia="仿宋"/>
          <w:color w:val="000000"/>
          <w:kern w:val="0"/>
          <w:sz w:val="21"/>
          <w:szCs w:val="21"/>
        </w:rPr>
        <w:t>+</w:t>
      </w:r>
      <w:r>
        <w:rPr>
          <w:rFonts w:ascii="仿宋" w:eastAsia="仿宋" w:hAnsi="仿宋" w:cs="仿宋" w:hint="eastAsia"/>
          <w:color w:val="000000"/>
          <w:kern w:val="0"/>
          <w:sz w:val="21"/>
          <w:szCs w:val="21"/>
        </w:rPr>
        <w:t>选</w:t>
      </w:r>
      <w:r>
        <w:rPr>
          <w:rFonts w:eastAsia="仿宋"/>
          <w:color w:val="000000"/>
          <w:kern w:val="0"/>
          <w:sz w:val="21"/>
          <w:szCs w:val="21"/>
        </w:rPr>
        <w:t>C</w:t>
      </w:r>
      <w:r>
        <w:rPr>
          <w:rFonts w:ascii="仿宋" w:eastAsia="仿宋" w:hAnsi="仿宋" w:cs="仿宋" w:hint="eastAsia"/>
          <w:color w:val="000000"/>
          <w:kern w:val="0"/>
          <w:sz w:val="21"/>
          <w:szCs w:val="21"/>
        </w:rPr>
        <w:t>项人数</w:t>
      </w:r>
      <w:r>
        <w:rPr>
          <w:rFonts w:eastAsia="仿宋"/>
          <w:color w:val="000000"/>
          <w:kern w:val="0"/>
          <w:sz w:val="21"/>
          <w:szCs w:val="21"/>
        </w:rPr>
        <w:t>*2</w:t>
      </w:r>
      <w:r>
        <w:rPr>
          <w:rFonts w:ascii="仿宋" w:eastAsia="仿宋" w:hAnsi="仿宋" w:cs="仿宋" w:hint="eastAsia"/>
          <w:color w:val="000000"/>
          <w:kern w:val="0"/>
          <w:sz w:val="21"/>
          <w:szCs w:val="21"/>
        </w:rPr>
        <w:t>分</w:t>
      </w:r>
      <w:r>
        <w:rPr>
          <w:rFonts w:eastAsia="仿宋"/>
          <w:color w:val="000000"/>
          <w:kern w:val="0"/>
          <w:sz w:val="21"/>
          <w:szCs w:val="21"/>
        </w:rPr>
        <w:t>+</w:t>
      </w:r>
      <w:r>
        <w:rPr>
          <w:rFonts w:ascii="仿宋" w:eastAsia="仿宋" w:hAnsi="仿宋" w:cs="仿宋" w:hint="eastAsia"/>
          <w:color w:val="000000"/>
          <w:kern w:val="0"/>
          <w:sz w:val="21"/>
          <w:szCs w:val="21"/>
        </w:rPr>
        <w:t>选</w:t>
      </w:r>
      <w:r>
        <w:rPr>
          <w:rFonts w:eastAsia="仿宋"/>
          <w:color w:val="000000"/>
          <w:kern w:val="0"/>
          <w:sz w:val="21"/>
          <w:szCs w:val="21"/>
        </w:rPr>
        <w:t>D</w:t>
      </w:r>
      <w:r>
        <w:rPr>
          <w:rFonts w:ascii="仿宋" w:eastAsia="仿宋" w:hAnsi="仿宋" w:cs="仿宋" w:hint="eastAsia"/>
          <w:color w:val="000000"/>
          <w:kern w:val="0"/>
          <w:sz w:val="21"/>
          <w:szCs w:val="21"/>
        </w:rPr>
        <w:t>项人数</w:t>
      </w:r>
      <w:r>
        <w:rPr>
          <w:rFonts w:eastAsia="仿宋"/>
          <w:color w:val="000000"/>
          <w:kern w:val="0"/>
          <w:sz w:val="21"/>
          <w:szCs w:val="21"/>
        </w:rPr>
        <w:t>*1</w:t>
      </w:r>
      <w:r>
        <w:rPr>
          <w:rFonts w:ascii="仿宋" w:eastAsia="仿宋" w:hAnsi="仿宋" w:cs="仿宋" w:hint="eastAsia"/>
          <w:color w:val="000000"/>
          <w:kern w:val="0"/>
          <w:sz w:val="21"/>
          <w:szCs w:val="21"/>
        </w:rPr>
        <w:t>分</w:t>
      </w:r>
      <w:r>
        <w:rPr>
          <w:rFonts w:ascii="仿宋" w:eastAsia="仿宋" w:hAnsi="仿宋" w:cs="仿宋" w:hint="eastAsia"/>
          <w:color w:val="000000"/>
          <w:kern w:val="0"/>
          <w:sz w:val="21"/>
          <w:szCs w:val="21"/>
        </w:rPr>
        <w:t>+</w:t>
      </w:r>
      <w:r>
        <w:rPr>
          <w:rFonts w:ascii="仿宋" w:eastAsia="仿宋" w:hAnsi="仿宋" w:cs="仿宋" w:hint="eastAsia"/>
          <w:color w:val="000000"/>
          <w:kern w:val="0"/>
          <w:sz w:val="21"/>
          <w:szCs w:val="21"/>
        </w:rPr>
        <w:t>选</w:t>
      </w:r>
      <w:r>
        <w:rPr>
          <w:rFonts w:ascii="仿宋" w:eastAsia="仿宋" w:hAnsi="仿宋" w:cs="仿宋" w:hint="eastAsia"/>
          <w:color w:val="000000"/>
          <w:kern w:val="0"/>
          <w:sz w:val="21"/>
          <w:szCs w:val="21"/>
        </w:rPr>
        <w:t>E</w:t>
      </w:r>
      <w:r>
        <w:rPr>
          <w:rFonts w:ascii="仿宋" w:eastAsia="仿宋" w:hAnsi="仿宋" w:cs="仿宋" w:hint="eastAsia"/>
          <w:color w:val="000000"/>
          <w:kern w:val="0"/>
          <w:sz w:val="21"/>
          <w:szCs w:val="21"/>
        </w:rPr>
        <w:t>项人数</w:t>
      </w:r>
      <w:r>
        <w:rPr>
          <w:rFonts w:ascii="仿宋" w:eastAsia="仿宋" w:hAnsi="仿宋" w:cs="仿宋" w:hint="eastAsia"/>
          <w:color w:val="000000"/>
          <w:kern w:val="0"/>
          <w:sz w:val="21"/>
          <w:szCs w:val="21"/>
        </w:rPr>
        <w:t>*</w:t>
      </w:r>
      <w:r>
        <w:rPr>
          <w:rFonts w:eastAsia="仿宋" w:cs="仿宋" w:hint="eastAsia"/>
          <w:color w:val="000000"/>
          <w:kern w:val="0"/>
          <w:sz w:val="21"/>
          <w:szCs w:val="21"/>
        </w:rPr>
        <w:t>0</w:t>
      </w:r>
      <w:r>
        <w:rPr>
          <w:rFonts w:ascii="仿宋" w:eastAsia="仿宋" w:hAnsi="仿宋" w:cs="仿宋" w:hint="eastAsia"/>
          <w:color w:val="000000"/>
          <w:kern w:val="0"/>
          <w:sz w:val="21"/>
          <w:szCs w:val="21"/>
        </w:rPr>
        <w:t>分）</w:t>
      </w:r>
      <w:r>
        <w:rPr>
          <w:rFonts w:eastAsia="仿宋"/>
          <w:color w:val="000000"/>
          <w:kern w:val="0"/>
          <w:sz w:val="21"/>
          <w:szCs w:val="21"/>
        </w:rPr>
        <w:t>/</w:t>
      </w:r>
      <w:r>
        <w:rPr>
          <w:rFonts w:ascii="仿宋" w:eastAsia="仿宋" w:hAnsi="仿宋" w:cs="仿宋" w:hint="eastAsia"/>
          <w:color w:val="000000"/>
          <w:kern w:val="0"/>
          <w:sz w:val="21"/>
          <w:szCs w:val="21"/>
        </w:rPr>
        <w:t>（总调研人数</w:t>
      </w:r>
      <w:r>
        <w:rPr>
          <w:rFonts w:eastAsia="仿宋"/>
          <w:color w:val="000000"/>
          <w:kern w:val="0"/>
          <w:sz w:val="21"/>
          <w:szCs w:val="21"/>
        </w:rPr>
        <w:t>*4</w:t>
      </w:r>
      <w:r>
        <w:rPr>
          <w:rFonts w:ascii="仿宋" w:eastAsia="仿宋" w:hAnsi="仿宋" w:cs="仿宋" w:hint="eastAsia"/>
          <w:color w:val="000000"/>
          <w:kern w:val="0"/>
          <w:sz w:val="21"/>
          <w:szCs w:val="21"/>
        </w:rPr>
        <w:t>分）</w:t>
      </w:r>
    </w:p>
    <w:p w:rsidR="00122B6D" w:rsidRDefault="00122B6D">
      <w:pPr>
        <w:widowControl w:val="0"/>
        <w:adjustRightInd w:val="0"/>
        <w:snapToGrid w:val="0"/>
        <w:ind w:firstLineChars="200" w:firstLine="640"/>
        <w:rPr>
          <w:szCs w:val="22"/>
        </w:rPr>
      </w:pPr>
    </w:p>
    <w:sectPr w:rsidR="00122B6D">
      <w:pgSz w:w="11906" w:h="16838"/>
      <w:pgMar w:top="2098" w:right="1587" w:bottom="1984" w:left="1587" w:header="851" w:footer="992" w:gutter="0"/>
      <w:cols w:space="720"/>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EEF" w:rsidRDefault="00F01EEF">
      <w:pPr>
        <w:spacing w:line="240" w:lineRule="auto"/>
      </w:pPr>
      <w:r>
        <w:separator/>
      </w:r>
    </w:p>
  </w:endnote>
  <w:endnote w:type="continuationSeparator" w:id="0">
    <w:p w:rsidR="00F01EEF" w:rsidRDefault="00F01E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embedRegular r:id="rId1" w:subsetted="1" w:fontKey="{8CEB4AD2-81DB-45CD-8B49-93F0FCF57941}"/>
    <w:embedBold r:id="rId2" w:subsetted="1" w:fontKey="{482E63C6-C063-4A5B-AF8A-FBD9A0829D6E}"/>
  </w:font>
  <w:font w:name="仿宋_GB2312">
    <w:altName w:val="仿宋"/>
    <w:panose1 w:val="02010609030101010101"/>
    <w:charset w:val="86"/>
    <w:family w:val="modern"/>
    <w:pitch w:val="fixed"/>
    <w:sig w:usb0="00000001" w:usb1="080E0000" w:usb2="00000010" w:usb3="00000000" w:csb0="00040000" w:csb1="00000000"/>
    <w:embedRegular r:id="rId3" w:subsetted="1" w:fontKey="{6555C788-329E-4355-A2B8-193176579D34}"/>
    <w:embedBold r:id="rId4" w:subsetted="1" w:fontKey="{768B11E5-7B9C-4B79-8E37-F5A60DDFE4AD}"/>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embedRegular r:id="rId5" w:subsetted="1" w:fontKey="{A71C7FA3-EDBC-4E40-BA2A-EE7ECA7BB0F2}"/>
    <w:embedBold r:id="rId6" w:subsetted="1" w:fontKey="{F921C328-206C-46CC-97C6-55B13463EF04}"/>
  </w:font>
  <w:font w:name="华文中宋">
    <w:panose1 w:val="02010600040101010101"/>
    <w:charset w:val="86"/>
    <w:family w:val="auto"/>
    <w:pitch w:val="variable"/>
    <w:sig w:usb0="00000287" w:usb1="080F0000" w:usb2="00000010" w:usb3="00000000" w:csb0="0004009F" w:csb1="00000000"/>
  </w:font>
  <w:font w:name="方正小标宋_GBK">
    <w:panose1 w:val="03000509000000000000"/>
    <w:charset w:val="86"/>
    <w:family w:val="script"/>
    <w:pitch w:val="fixed"/>
    <w:sig w:usb0="00000001" w:usb1="080E0000" w:usb2="00000010" w:usb3="00000000" w:csb0="00040000" w:csb1="00000000"/>
    <w:embedRegular r:id="rId7" w:subsetted="1" w:fontKey="{0FE3F882-A683-4490-87E0-76940D410AA4}"/>
  </w:font>
  <w:font w:name="华文仿宋">
    <w:panose1 w:val="02010600040101010101"/>
    <w:charset w:val="86"/>
    <w:family w:val="auto"/>
    <w:pitch w:val="variable"/>
    <w:sig w:usb0="00000287" w:usb1="080F0000" w:usb2="00000010" w:usb3="00000000" w:csb0="0004009F" w:csb1="00000000"/>
  </w:font>
  <w:font w:name="方正黑体_GBK">
    <w:panose1 w:val="03000509000000000000"/>
    <w:charset w:val="86"/>
    <w:family w:val="script"/>
    <w:pitch w:val="fixed"/>
    <w:sig w:usb0="00000001" w:usb1="080E0000" w:usb2="00000010" w:usb3="00000000" w:csb0="00040000" w:csb1="00000000"/>
    <w:embedRegular r:id="rId8" w:subsetted="1" w:fontKey="{55DF1617-8A9F-4358-AD70-3C20821C72EA}"/>
  </w:font>
  <w:font w:name="方正楷体_GBK">
    <w:panose1 w:val="03000509000000000000"/>
    <w:charset w:val="86"/>
    <w:family w:val="script"/>
    <w:pitch w:val="fixed"/>
    <w:sig w:usb0="00000001" w:usb1="080E0000" w:usb2="00000010" w:usb3="00000000" w:csb0="00040000" w:csb1="00000000"/>
    <w:embedRegular r:id="rId9" w:subsetted="1" w:fontKey="{B5C91FD3-FC11-47A2-A737-67EC831ADB12}"/>
    <w:embedBold r:id="rId10" w:subsetted="1" w:fontKey="{2FDCB57D-BD42-48AA-8282-B7BC17C144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6D" w:rsidRDefault="00F01EEF">
    <w:pPr>
      <w:pStyle w:val="aa"/>
    </w:pPr>
    <w:r>
      <w:pict>
        <v:shapetype id="_x0000_t202" coordsize="21600,21600" o:spt="202" path="m,l,21600r21600,l21600,xe">
          <v:stroke joinstyle="miter"/>
          <v:path gradientshapeok="t" o:connecttype="rect"/>
        </v:shapetype>
        <v:shape id="文本框 1" o:spid="_x0000_s2050" type="#_x0000_t202" style="position:absolute;margin-left:0;margin-top:0;width:2in;height:2in;z-index:251659264;mso-wrap-style:none;mso-position-horizontal:center;mso-position-horizontal-relative:margin;mso-width-relative:page;mso-height-relative:page"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PaXn8jHAQAAewMAAA4AAAAAAAAA&#10;AQAgAAAANAEAAGRycy9lMm9Eb2MueG1sUEsFBgAAAAAGAAYAWQEAAG0FAAAAAA==&#10;" filled="f" stroked="f">
          <v:textbox style="mso-fit-shape-to-text:t" inset="0,0,0,0">
            <w:txbxContent>
              <w:p w:rsidR="00122B6D" w:rsidRDefault="00F01EEF">
                <w:pPr>
                  <w:pStyle w:val="aa"/>
                  <w:rPr>
                    <w:sz w:val="21"/>
                    <w:szCs w:val="40"/>
                  </w:rPr>
                </w:pPr>
                <w:r>
                  <w:fldChar w:fldCharType="begin"/>
                </w:r>
                <w:r>
                  <w:instrText xml:space="preserve"> PAGE  \* MERGEFORMAT </w:instrText>
                </w:r>
                <w:r>
                  <w:fldChar w:fldCharType="separate"/>
                </w:r>
                <w:r w:rsidR="00AA0E04">
                  <w:rPr>
                    <w:noProof/>
                  </w:rPr>
                  <w:t>1</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EEF" w:rsidRDefault="00F01EEF">
      <w:pPr>
        <w:spacing w:line="240" w:lineRule="auto"/>
      </w:pPr>
      <w:r>
        <w:separator/>
      </w:r>
    </w:p>
  </w:footnote>
  <w:footnote w:type="continuationSeparator" w:id="0">
    <w:p w:rsidR="00F01EEF" w:rsidRDefault="00F01EE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proofState w:spelling="clean"/>
  <w:defaultTabStop w:val="420"/>
  <w:drawingGridVerticalSpacing w:val="218"/>
  <w:noPunctuationKerning/>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c1MmE4ODEwZmNiMzFiYjJlOWViY2IyMTg4N2U3OWYifQ=="/>
  </w:docVars>
  <w:rsids>
    <w:rsidRoot w:val="001D77D2"/>
    <w:rsid w:val="CBABA417"/>
    <w:rsid w:val="CBDA9A5B"/>
    <w:rsid w:val="D47FAC3E"/>
    <w:rsid w:val="D5FD544C"/>
    <w:rsid w:val="D77D807A"/>
    <w:rsid w:val="D7FF2796"/>
    <w:rsid w:val="DB5F84C5"/>
    <w:rsid w:val="DBFE6C97"/>
    <w:rsid w:val="DDC7F318"/>
    <w:rsid w:val="DDD536B6"/>
    <w:rsid w:val="DDFA1D49"/>
    <w:rsid w:val="DEBF002A"/>
    <w:rsid w:val="DED19EAE"/>
    <w:rsid w:val="E5F5C0E8"/>
    <w:rsid w:val="E6E6BF1C"/>
    <w:rsid w:val="EA31DE23"/>
    <w:rsid w:val="EB7F624F"/>
    <w:rsid w:val="EC7F7276"/>
    <w:rsid w:val="ED7BFBE9"/>
    <w:rsid w:val="EECCBC9D"/>
    <w:rsid w:val="EEEF4AA3"/>
    <w:rsid w:val="EFB3D25C"/>
    <w:rsid w:val="EFDD3507"/>
    <w:rsid w:val="EFDFB5BB"/>
    <w:rsid w:val="EFEF7819"/>
    <w:rsid w:val="EFEF80F4"/>
    <w:rsid w:val="F1BFDF26"/>
    <w:rsid w:val="F1F7B900"/>
    <w:rsid w:val="F349663B"/>
    <w:rsid w:val="F3AD6611"/>
    <w:rsid w:val="F427F4D9"/>
    <w:rsid w:val="F55EF70E"/>
    <w:rsid w:val="F6775B75"/>
    <w:rsid w:val="F6F7EE56"/>
    <w:rsid w:val="F713D4DF"/>
    <w:rsid w:val="F773826E"/>
    <w:rsid w:val="F7CB38FE"/>
    <w:rsid w:val="F7EF0199"/>
    <w:rsid w:val="F7F62A40"/>
    <w:rsid w:val="F7F6A8CC"/>
    <w:rsid w:val="F9FBE6F0"/>
    <w:rsid w:val="FBA78A5D"/>
    <w:rsid w:val="FBBF8626"/>
    <w:rsid w:val="FBEE0B28"/>
    <w:rsid w:val="FBEF34F1"/>
    <w:rsid w:val="FBF91703"/>
    <w:rsid w:val="FBFDF0BA"/>
    <w:rsid w:val="FBFFD32C"/>
    <w:rsid w:val="FDA71137"/>
    <w:rsid w:val="FDAE56CB"/>
    <w:rsid w:val="FDFE4F68"/>
    <w:rsid w:val="FDFFD7A1"/>
    <w:rsid w:val="FEE76C20"/>
    <w:rsid w:val="FEFED8C1"/>
    <w:rsid w:val="FF3FDFFB"/>
    <w:rsid w:val="FF799947"/>
    <w:rsid w:val="FF7FFF72"/>
    <w:rsid w:val="FFB3AE51"/>
    <w:rsid w:val="FFBB7125"/>
    <w:rsid w:val="FFBFB983"/>
    <w:rsid w:val="FFCB38A7"/>
    <w:rsid w:val="FFDE0072"/>
    <w:rsid w:val="FFE7565E"/>
    <w:rsid w:val="FFEEE21A"/>
    <w:rsid w:val="FFEF3349"/>
    <w:rsid w:val="FFF97729"/>
    <w:rsid w:val="FFFAEACE"/>
    <w:rsid w:val="FFFF854F"/>
    <w:rsid w:val="00122B6D"/>
    <w:rsid w:val="00125861"/>
    <w:rsid w:val="00177C71"/>
    <w:rsid w:val="0019613A"/>
    <w:rsid w:val="001D77D2"/>
    <w:rsid w:val="004B74B0"/>
    <w:rsid w:val="004C1603"/>
    <w:rsid w:val="005A148F"/>
    <w:rsid w:val="00690719"/>
    <w:rsid w:val="00692FA7"/>
    <w:rsid w:val="00713208"/>
    <w:rsid w:val="0072013E"/>
    <w:rsid w:val="00900206"/>
    <w:rsid w:val="00901DC3"/>
    <w:rsid w:val="00941F62"/>
    <w:rsid w:val="00A4361E"/>
    <w:rsid w:val="00AA0E04"/>
    <w:rsid w:val="00B733A3"/>
    <w:rsid w:val="00C40430"/>
    <w:rsid w:val="00E876C3"/>
    <w:rsid w:val="00F01EEF"/>
    <w:rsid w:val="01A2062B"/>
    <w:rsid w:val="01BE63C2"/>
    <w:rsid w:val="01F97EDE"/>
    <w:rsid w:val="021D229B"/>
    <w:rsid w:val="02313F99"/>
    <w:rsid w:val="02A30447"/>
    <w:rsid w:val="02D37BB6"/>
    <w:rsid w:val="02DD401D"/>
    <w:rsid w:val="0303155B"/>
    <w:rsid w:val="03291A83"/>
    <w:rsid w:val="0380706D"/>
    <w:rsid w:val="03993DBA"/>
    <w:rsid w:val="03C77B1E"/>
    <w:rsid w:val="04387860"/>
    <w:rsid w:val="044818DF"/>
    <w:rsid w:val="04A509E9"/>
    <w:rsid w:val="04F0652B"/>
    <w:rsid w:val="04FF2AA5"/>
    <w:rsid w:val="055F3435"/>
    <w:rsid w:val="05BE041F"/>
    <w:rsid w:val="061531C6"/>
    <w:rsid w:val="06514D33"/>
    <w:rsid w:val="065546FA"/>
    <w:rsid w:val="067803E8"/>
    <w:rsid w:val="067E0031"/>
    <w:rsid w:val="068D238E"/>
    <w:rsid w:val="06E2414E"/>
    <w:rsid w:val="077372BE"/>
    <w:rsid w:val="07AA0248"/>
    <w:rsid w:val="07C90768"/>
    <w:rsid w:val="084D41BE"/>
    <w:rsid w:val="08554D23"/>
    <w:rsid w:val="08760957"/>
    <w:rsid w:val="08844E22"/>
    <w:rsid w:val="08B67787"/>
    <w:rsid w:val="08D2207F"/>
    <w:rsid w:val="092232AC"/>
    <w:rsid w:val="095A2027"/>
    <w:rsid w:val="095D5564"/>
    <w:rsid w:val="097430E9"/>
    <w:rsid w:val="098C1464"/>
    <w:rsid w:val="0B2B3C7B"/>
    <w:rsid w:val="0B974C85"/>
    <w:rsid w:val="0BAD319B"/>
    <w:rsid w:val="0BDC3D87"/>
    <w:rsid w:val="0C9A7799"/>
    <w:rsid w:val="0CBB2003"/>
    <w:rsid w:val="0CC45AB6"/>
    <w:rsid w:val="0CD21ED4"/>
    <w:rsid w:val="0CE51C08"/>
    <w:rsid w:val="0CEF5421"/>
    <w:rsid w:val="0D300BCA"/>
    <w:rsid w:val="0D392F32"/>
    <w:rsid w:val="0DB53607"/>
    <w:rsid w:val="0DFF253A"/>
    <w:rsid w:val="0DFFC43D"/>
    <w:rsid w:val="0E6F06AD"/>
    <w:rsid w:val="0EE91E83"/>
    <w:rsid w:val="0EF912DC"/>
    <w:rsid w:val="0FA47B58"/>
    <w:rsid w:val="0FBBB00C"/>
    <w:rsid w:val="0FD94404"/>
    <w:rsid w:val="103D184A"/>
    <w:rsid w:val="106F460A"/>
    <w:rsid w:val="109202F8"/>
    <w:rsid w:val="109C7329"/>
    <w:rsid w:val="10FA4AAE"/>
    <w:rsid w:val="113A4C18"/>
    <w:rsid w:val="113E1296"/>
    <w:rsid w:val="11551A52"/>
    <w:rsid w:val="115FFFE4"/>
    <w:rsid w:val="11AE28ED"/>
    <w:rsid w:val="11AE3DC3"/>
    <w:rsid w:val="11ED7D82"/>
    <w:rsid w:val="13392CAD"/>
    <w:rsid w:val="13781A27"/>
    <w:rsid w:val="13CC5BD3"/>
    <w:rsid w:val="13EB3D43"/>
    <w:rsid w:val="1413114E"/>
    <w:rsid w:val="141575E6"/>
    <w:rsid w:val="141C03D1"/>
    <w:rsid w:val="141F13AA"/>
    <w:rsid w:val="14417C44"/>
    <w:rsid w:val="147F7972"/>
    <w:rsid w:val="14CD5DA3"/>
    <w:rsid w:val="14FA3973"/>
    <w:rsid w:val="15145780"/>
    <w:rsid w:val="154D2C97"/>
    <w:rsid w:val="1585667E"/>
    <w:rsid w:val="15B198E1"/>
    <w:rsid w:val="164E4CC1"/>
    <w:rsid w:val="16574E57"/>
    <w:rsid w:val="165A5414"/>
    <w:rsid w:val="168920BB"/>
    <w:rsid w:val="16CB6312"/>
    <w:rsid w:val="16EF2001"/>
    <w:rsid w:val="17105E78"/>
    <w:rsid w:val="171E1F90"/>
    <w:rsid w:val="17B374D2"/>
    <w:rsid w:val="17D42FA4"/>
    <w:rsid w:val="184766CC"/>
    <w:rsid w:val="185E6811"/>
    <w:rsid w:val="18AC1D84"/>
    <w:rsid w:val="1903089F"/>
    <w:rsid w:val="191037B7"/>
    <w:rsid w:val="194633F8"/>
    <w:rsid w:val="19632558"/>
    <w:rsid w:val="197131A1"/>
    <w:rsid w:val="19BC1375"/>
    <w:rsid w:val="1A465481"/>
    <w:rsid w:val="1A4F476E"/>
    <w:rsid w:val="1A9F7253"/>
    <w:rsid w:val="1AB32A57"/>
    <w:rsid w:val="1AC50A58"/>
    <w:rsid w:val="1AC83294"/>
    <w:rsid w:val="1AF613B3"/>
    <w:rsid w:val="1B1C013E"/>
    <w:rsid w:val="1B774EE3"/>
    <w:rsid w:val="1B9E0D28"/>
    <w:rsid w:val="1BB92BDD"/>
    <w:rsid w:val="1BD44EC7"/>
    <w:rsid w:val="1BE8227F"/>
    <w:rsid w:val="1C711F34"/>
    <w:rsid w:val="1C72481D"/>
    <w:rsid w:val="1C7D584F"/>
    <w:rsid w:val="1C8754E7"/>
    <w:rsid w:val="1CF3038F"/>
    <w:rsid w:val="1D2D52A5"/>
    <w:rsid w:val="1D863BD4"/>
    <w:rsid w:val="1E31403C"/>
    <w:rsid w:val="1E8618B2"/>
    <w:rsid w:val="1EBFCC7C"/>
    <w:rsid w:val="1F47690F"/>
    <w:rsid w:val="1F6B0692"/>
    <w:rsid w:val="1FF37C45"/>
    <w:rsid w:val="203A54DA"/>
    <w:rsid w:val="20527D8B"/>
    <w:rsid w:val="20531347"/>
    <w:rsid w:val="20817D3B"/>
    <w:rsid w:val="209150D1"/>
    <w:rsid w:val="20AC3877"/>
    <w:rsid w:val="20B57E96"/>
    <w:rsid w:val="20B816B5"/>
    <w:rsid w:val="211D13AC"/>
    <w:rsid w:val="214C004F"/>
    <w:rsid w:val="21550DCB"/>
    <w:rsid w:val="216D3D4D"/>
    <w:rsid w:val="222A65E3"/>
    <w:rsid w:val="22511101"/>
    <w:rsid w:val="227339EC"/>
    <w:rsid w:val="22A42520"/>
    <w:rsid w:val="22A939AB"/>
    <w:rsid w:val="22EB1F29"/>
    <w:rsid w:val="22F75B5A"/>
    <w:rsid w:val="23005595"/>
    <w:rsid w:val="233D5EA2"/>
    <w:rsid w:val="23A777BF"/>
    <w:rsid w:val="23B31EBE"/>
    <w:rsid w:val="23ED6700"/>
    <w:rsid w:val="23F16472"/>
    <w:rsid w:val="24082954"/>
    <w:rsid w:val="24305985"/>
    <w:rsid w:val="246B0F38"/>
    <w:rsid w:val="24B11D4A"/>
    <w:rsid w:val="24CC5D14"/>
    <w:rsid w:val="25853335"/>
    <w:rsid w:val="25AD37B3"/>
    <w:rsid w:val="25DD24E6"/>
    <w:rsid w:val="266D2F42"/>
    <w:rsid w:val="26AC3A6A"/>
    <w:rsid w:val="2740778D"/>
    <w:rsid w:val="277B879A"/>
    <w:rsid w:val="278A089E"/>
    <w:rsid w:val="2792313A"/>
    <w:rsid w:val="279E13EE"/>
    <w:rsid w:val="27A720F5"/>
    <w:rsid w:val="27E47234"/>
    <w:rsid w:val="28105A7B"/>
    <w:rsid w:val="281D695C"/>
    <w:rsid w:val="283611FD"/>
    <w:rsid w:val="28A37FA6"/>
    <w:rsid w:val="28B44E58"/>
    <w:rsid w:val="28C4735F"/>
    <w:rsid w:val="290C6A42"/>
    <w:rsid w:val="29682ADB"/>
    <w:rsid w:val="29781AA3"/>
    <w:rsid w:val="29BE5E49"/>
    <w:rsid w:val="29F02881"/>
    <w:rsid w:val="2AB045B9"/>
    <w:rsid w:val="2BA168FE"/>
    <w:rsid w:val="2BDF3CA0"/>
    <w:rsid w:val="2BF043F9"/>
    <w:rsid w:val="2BF93B77"/>
    <w:rsid w:val="2CDB2578"/>
    <w:rsid w:val="2D1B7BEF"/>
    <w:rsid w:val="2D1E73A5"/>
    <w:rsid w:val="2D3A16A4"/>
    <w:rsid w:val="2D771923"/>
    <w:rsid w:val="2DD72EFE"/>
    <w:rsid w:val="2DFDCE82"/>
    <w:rsid w:val="2E3550FF"/>
    <w:rsid w:val="2E3A4CD3"/>
    <w:rsid w:val="2E501B87"/>
    <w:rsid w:val="2ED23B46"/>
    <w:rsid w:val="2ED77E99"/>
    <w:rsid w:val="2F5D4209"/>
    <w:rsid w:val="2F6A001E"/>
    <w:rsid w:val="2F75451C"/>
    <w:rsid w:val="2F835584"/>
    <w:rsid w:val="2FC7480C"/>
    <w:rsid w:val="309761B9"/>
    <w:rsid w:val="30D836AE"/>
    <w:rsid w:val="30F4112A"/>
    <w:rsid w:val="31C047C2"/>
    <w:rsid w:val="32013282"/>
    <w:rsid w:val="324A5441"/>
    <w:rsid w:val="32735B12"/>
    <w:rsid w:val="32987598"/>
    <w:rsid w:val="32BC5E9C"/>
    <w:rsid w:val="32BF354A"/>
    <w:rsid w:val="32C65F3E"/>
    <w:rsid w:val="33242BDA"/>
    <w:rsid w:val="33490893"/>
    <w:rsid w:val="33671C52"/>
    <w:rsid w:val="34301706"/>
    <w:rsid w:val="348675CE"/>
    <w:rsid w:val="34AE548B"/>
    <w:rsid w:val="3544294B"/>
    <w:rsid w:val="356916C3"/>
    <w:rsid w:val="35ED2F28"/>
    <w:rsid w:val="35FD07CC"/>
    <w:rsid w:val="36143FD0"/>
    <w:rsid w:val="361B395C"/>
    <w:rsid w:val="361E3E70"/>
    <w:rsid w:val="3631493A"/>
    <w:rsid w:val="36455341"/>
    <w:rsid w:val="36B9B5DE"/>
    <w:rsid w:val="36CC39C3"/>
    <w:rsid w:val="36F735C0"/>
    <w:rsid w:val="3727178A"/>
    <w:rsid w:val="37932B35"/>
    <w:rsid w:val="37AF7583"/>
    <w:rsid w:val="37D64BCE"/>
    <w:rsid w:val="380150B2"/>
    <w:rsid w:val="38D42287"/>
    <w:rsid w:val="38E5105E"/>
    <w:rsid w:val="38FB36D6"/>
    <w:rsid w:val="395B752D"/>
    <w:rsid w:val="39FB7783"/>
    <w:rsid w:val="3A406709"/>
    <w:rsid w:val="3A571AE7"/>
    <w:rsid w:val="3A91846F"/>
    <w:rsid w:val="3AFFCB07"/>
    <w:rsid w:val="3B276606"/>
    <w:rsid w:val="3BA11D42"/>
    <w:rsid w:val="3BA9744F"/>
    <w:rsid w:val="3BB38914"/>
    <w:rsid w:val="3BD614B7"/>
    <w:rsid w:val="3BFF84C5"/>
    <w:rsid w:val="3C3420E0"/>
    <w:rsid w:val="3CCA10F5"/>
    <w:rsid w:val="3CFC4710"/>
    <w:rsid w:val="3D686B7B"/>
    <w:rsid w:val="3D6E286B"/>
    <w:rsid w:val="3D843A9E"/>
    <w:rsid w:val="3DAF2F12"/>
    <w:rsid w:val="3DB7EFCE"/>
    <w:rsid w:val="3DCA6BCA"/>
    <w:rsid w:val="3DEA725A"/>
    <w:rsid w:val="3DEF38FF"/>
    <w:rsid w:val="3DFC4E7F"/>
    <w:rsid w:val="3E041A33"/>
    <w:rsid w:val="3E133E45"/>
    <w:rsid w:val="3E4F719A"/>
    <w:rsid w:val="3EA232A3"/>
    <w:rsid w:val="3EF5D9D2"/>
    <w:rsid w:val="3EF5FEC4"/>
    <w:rsid w:val="3EF731B1"/>
    <w:rsid w:val="3F30390A"/>
    <w:rsid w:val="3F422D66"/>
    <w:rsid w:val="3F7FA3E7"/>
    <w:rsid w:val="3FA986E9"/>
    <w:rsid w:val="3FAE3092"/>
    <w:rsid w:val="3FCE5964"/>
    <w:rsid w:val="3FEFB05C"/>
    <w:rsid w:val="3FFE33BD"/>
    <w:rsid w:val="402736CA"/>
    <w:rsid w:val="40864ED4"/>
    <w:rsid w:val="40A86BF9"/>
    <w:rsid w:val="40EF4827"/>
    <w:rsid w:val="41272213"/>
    <w:rsid w:val="412C3FF7"/>
    <w:rsid w:val="41BB2B6D"/>
    <w:rsid w:val="422F25C8"/>
    <w:rsid w:val="426B67E5"/>
    <w:rsid w:val="427B04D2"/>
    <w:rsid w:val="42A87384"/>
    <w:rsid w:val="42C70660"/>
    <w:rsid w:val="436C6603"/>
    <w:rsid w:val="43707B0E"/>
    <w:rsid w:val="438356FB"/>
    <w:rsid w:val="43F3462F"/>
    <w:rsid w:val="440A3726"/>
    <w:rsid w:val="44454B11"/>
    <w:rsid w:val="447E11A1"/>
    <w:rsid w:val="451A208F"/>
    <w:rsid w:val="4565155C"/>
    <w:rsid w:val="45DB181E"/>
    <w:rsid w:val="45FC5B59"/>
    <w:rsid w:val="46B75DE7"/>
    <w:rsid w:val="4717366D"/>
    <w:rsid w:val="473E02B7"/>
    <w:rsid w:val="47627028"/>
    <w:rsid w:val="47732C05"/>
    <w:rsid w:val="47A41BA3"/>
    <w:rsid w:val="487A4C9D"/>
    <w:rsid w:val="488C2979"/>
    <w:rsid w:val="49963257"/>
    <w:rsid w:val="49DC54D6"/>
    <w:rsid w:val="4A0F5F3A"/>
    <w:rsid w:val="4A4C2CEB"/>
    <w:rsid w:val="4A9C4B8F"/>
    <w:rsid w:val="4AC420BE"/>
    <w:rsid w:val="4B2772B4"/>
    <w:rsid w:val="4B46773A"/>
    <w:rsid w:val="4B8169C4"/>
    <w:rsid w:val="4BB05B18"/>
    <w:rsid w:val="4C0F268E"/>
    <w:rsid w:val="4C23648E"/>
    <w:rsid w:val="4C653BF0"/>
    <w:rsid w:val="4C8C73CE"/>
    <w:rsid w:val="4CA23096"/>
    <w:rsid w:val="4D113C49"/>
    <w:rsid w:val="4D8B3072"/>
    <w:rsid w:val="4DFB756E"/>
    <w:rsid w:val="4E1C53F2"/>
    <w:rsid w:val="4E231FB4"/>
    <w:rsid w:val="4E262C18"/>
    <w:rsid w:val="4E2F42CD"/>
    <w:rsid w:val="4E4A2AB4"/>
    <w:rsid w:val="4E640BAD"/>
    <w:rsid w:val="4EBF3759"/>
    <w:rsid w:val="4F147B4F"/>
    <w:rsid w:val="4F2170AB"/>
    <w:rsid w:val="4F6B4EE7"/>
    <w:rsid w:val="4F776274"/>
    <w:rsid w:val="4F83463B"/>
    <w:rsid w:val="4FCE41A2"/>
    <w:rsid w:val="4FF04118"/>
    <w:rsid w:val="4FF91F02"/>
    <w:rsid w:val="4FFA1747"/>
    <w:rsid w:val="50011E81"/>
    <w:rsid w:val="50D91050"/>
    <w:rsid w:val="513E2419"/>
    <w:rsid w:val="519B6306"/>
    <w:rsid w:val="51C92E73"/>
    <w:rsid w:val="51F56088"/>
    <w:rsid w:val="525163EA"/>
    <w:rsid w:val="525941F7"/>
    <w:rsid w:val="53083527"/>
    <w:rsid w:val="533C1422"/>
    <w:rsid w:val="53F561A1"/>
    <w:rsid w:val="540B32CF"/>
    <w:rsid w:val="540D61A8"/>
    <w:rsid w:val="543F2CCA"/>
    <w:rsid w:val="54820367"/>
    <w:rsid w:val="54DF1086"/>
    <w:rsid w:val="5517A405"/>
    <w:rsid w:val="551E4625"/>
    <w:rsid w:val="552C327D"/>
    <w:rsid w:val="55805126"/>
    <w:rsid w:val="55A1324C"/>
    <w:rsid w:val="55D01AD3"/>
    <w:rsid w:val="561F3061"/>
    <w:rsid w:val="56DB6095"/>
    <w:rsid w:val="5778511F"/>
    <w:rsid w:val="57931F59"/>
    <w:rsid w:val="57BCC89B"/>
    <w:rsid w:val="57E83927"/>
    <w:rsid w:val="57EDFCFC"/>
    <w:rsid w:val="57FD6E3C"/>
    <w:rsid w:val="582D2C91"/>
    <w:rsid w:val="584513F4"/>
    <w:rsid w:val="588A371E"/>
    <w:rsid w:val="58E0166F"/>
    <w:rsid w:val="59C503C4"/>
    <w:rsid w:val="59CC58BA"/>
    <w:rsid w:val="5A4E2D6F"/>
    <w:rsid w:val="5A845B89"/>
    <w:rsid w:val="5AD97498"/>
    <w:rsid w:val="5AFE1DDF"/>
    <w:rsid w:val="5B3F3F40"/>
    <w:rsid w:val="5B5F012D"/>
    <w:rsid w:val="5B7E4CCE"/>
    <w:rsid w:val="5BD37875"/>
    <w:rsid w:val="5BEB332B"/>
    <w:rsid w:val="5BFF65D2"/>
    <w:rsid w:val="5C135D05"/>
    <w:rsid w:val="5C776F19"/>
    <w:rsid w:val="5C8956D8"/>
    <w:rsid w:val="5CDD77D2"/>
    <w:rsid w:val="5CFB693C"/>
    <w:rsid w:val="5CFB6FCA"/>
    <w:rsid w:val="5D301FF8"/>
    <w:rsid w:val="5D447EBE"/>
    <w:rsid w:val="5D6A7540"/>
    <w:rsid w:val="5D74244B"/>
    <w:rsid w:val="5D7FF59A"/>
    <w:rsid w:val="5D8C16D0"/>
    <w:rsid w:val="5D947139"/>
    <w:rsid w:val="5DB9023F"/>
    <w:rsid w:val="5DCD06E5"/>
    <w:rsid w:val="5DEE2AB5"/>
    <w:rsid w:val="5E135BA1"/>
    <w:rsid w:val="5E2D4789"/>
    <w:rsid w:val="5E341674"/>
    <w:rsid w:val="5E48019C"/>
    <w:rsid w:val="5E6006BB"/>
    <w:rsid w:val="5E710B1A"/>
    <w:rsid w:val="5E8C5954"/>
    <w:rsid w:val="5F37749C"/>
    <w:rsid w:val="5F3C2ED6"/>
    <w:rsid w:val="5F4C6E20"/>
    <w:rsid w:val="5F5CA304"/>
    <w:rsid w:val="5F8B1F3C"/>
    <w:rsid w:val="5FB34028"/>
    <w:rsid w:val="5FCB6733"/>
    <w:rsid w:val="5FCC456B"/>
    <w:rsid w:val="5FD656BF"/>
    <w:rsid w:val="5FDD01FF"/>
    <w:rsid w:val="610704A6"/>
    <w:rsid w:val="61252DAF"/>
    <w:rsid w:val="619743F4"/>
    <w:rsid w:val="626F35C2"/>
    <w:rsid w:val="629F51E1"/>
    <w:rsid w:val="62B71612"/>
    <w:rsid w:val="638273F9"/>
    <w:rsid w:val="63847AD9"/>
    <w:rsid w:val="63EFF243"/>
    <w:rsid w:val="640F0BB9"/>
    <w:rsid w:val="644234D5"/>
    <w:rsid w:val="64775FDA"/>
    <w:rsid w:val="648D5F82"/>
    <w:rsid w:val="64BE7FDE"/>
    <w:rsid w:val="65000687"/>
    <w:rsid w:val="652E61E5"/>
    <w:rsid w:val="65757142"/>
    <w:rsid w:val="65946FAF"/>
    <w:rsid w:val="65B56243"/>
    <w:rsid w:val="65C0401D"/>
    <w:rsid w:val="6635553A"/>
    <w:rsid w:val="6653023D"/>
    <w:rsid w:val="66560910"/>
    <w:rsid w:val="66886E2A"/>
    <w:rsid w:val="66B64202"/>
    <w:rsid w:val="66C33EDD"/>
    <w:rsid w:val="670342D9"/>
    <w:rsid w:val="67A96C2F"/>
    <w:rsid w:val="67BD092C"/>
    <w:rsid w:val="67EBC5BD"/>
    <w:rsid w:val="683B7483"/>
    <w:rsid w:val="68E24AEE"/>
    <w:rsid w:val="68E9504B"/>
    <w:rsid w:val="691D2CFA"/>
    <w:rsid w:val="694766FF"/>
    <w:rsid w:val="696B103E"/>
    <w:rsid w:val="69A73642"/>
    <w:rsid w:val="69B83AA1"/>
    <w:rsid w:val="69D57119"/>
    <w:rsid w:val="69DD52B6"/>
    <w:rsid w:val="6A556A66"/>
    <w:rsid w:val="6A687275"/>
    <w:rsid w:val="6B722607"/>
    <w:rsid w:val="6B7B0040"/>
    <w:rsid w:val="6B7F2699"/>
    <w:rsid w:val="6B815641"/>
    <w:rsid w:val="6B8974A3"/>
    <w:rsid w:val="6BC65037"/>
    <w:rsid w:val="6BDFEAD6"/>
    <w:rsid w:val="6C1624C4"/>
    <w:rsid w:val="6C472EBA"/>
    <w:rsid w:val="6C705F6D"/>
    <w:rsid w:val="6CB249E5"/>
    <w:rsid w:val="6CDF72AB"/>
    <w:rsid w:val="6CEF30EF"/>
    <w:rsid w:val="6D633D24"/>
    <w:rsid w:val="6D9B2892"/>
    <w:rsid w:val="6DBFFB00"/>
    <w:rsid w:val="6DE62A45"/>
    <w:rsid w:val="6E1A6AD8"/>
    <w:rsid w:val="6E5A5127"/>
    <w:rsid w:val="6E757BAA"/>
    <w:rsid w:val="6E8DB5D1"/>
    <w:rsid w:val="6E940B17"/>
    <w:rsid w:val="6EB76103"/>
    <w:rsid w:val="6EEF15D2"/>
    <w:rsid w:val="6F26325B"/>
    <w:rsid w:val="6F3F5316"/>
    <w:rsid w:val="6F775A7C"/>
    <w:rsid w:val="6F7D641C"/>
    <w:rsid w:val="6F9F6635"/>
    <w:rsid w:val="6FE32712"/>
    <w:rsid w:val="6FEA7FAC"/>
    <w:rsid w:val="6FFED0F5"/>
    <w:rsid w:val="700417EE"/>
    <w:rsid w:val="705C2D71"/>
    <w:rsid w:val="70750048"/>
    <w:rsid w:val="70772BA2"/>
    <w:rsid w:val="707F377D"/>
    <w:rsid w:val="70DC62C7"/>
    <w:rsid w:val="71691D72"/>
    <w:rsid w:val="719A4718"/>
    <w:rsid w:val="71CA3CA2"/>
    <w:rsid w:val="71F8158C"/>
    <w:rsid w:val="7206621D"/>
    <w:rsid w:val="72224C2E"/>
    <w:rsid w:val="722A12B4"/>
    <w:rsid w:val="72347346"/>
    <w:rsid w:val="726454E7"/>
    <w:rsid w:val="726E72F5"/>
    <w:rsid w:val="727D297F"/>
    <w:rsid w:val="72A93F87"/>
    <w:rsid w:val="72AE77EF"/>
    <w:rsid w:val="72CB045C"/>
    <w:rsid w:val="72F360FE"/>
    <w:rsid w:val="7349576A"/>
    <w:rsid w:val="73734595"/>
    <w:rsid w:val="73EFE1FF"/>
    <w:rsid w:val="7400051E"/>
    <w:rsid w:val="74076070"/>
    <w:rsid w:val="7423420D"/>
    <w:rsid w:val="74267AB1"/>
    <w:rsid w:val="74781387"/>
    <w:rsid w:val="74A76BEC"/>
    <w:rsid w:val="74B23BBF"/>
    <w:rsid w:val="74EB23E8"/>
    <w:rsid w:val="75327901"/>
    <w:rsid w:val="756920F3"/>
    <w:rsid w:val="756E14B8"/>
    <w:rsid w:val="758B02BC"/>
    <w:rsid w:val="75992DD1"/>
    <w:rsid w:val="75B06D2A"/>
    <w:rsid w:val="76290604"/>
    <w:rsid w:val="7669232A"/>
    <w:rsid w:val="767E9589"/>
    <w:rsid w:val="767F8273"/>
    <w:rsid w:val="76D8463F"/>
    <w:rsid w:val="76FA60CD"/>
    <w:rsid w:val="77381D7D"/>
    <w:rsid w:val="776EFB8C"/>
    <w:rsid w:val="77BD72E2"/>
    <w:rsid w:val="77BFBBF2"/>
    <w:rsid w:val="77CE92B9"/>
    <w:rsid w:val="77DDCD89"/>
    <w:rsid w:val="77E66B14"/>
    <w:rsid w:val="77EB2296"/>
    <w:rsid w:val="77ED839F"/>
    <w:rsid w:val="77FFAD46"/>
    <w:rsid w:val="78540E39"/>
    <w:rsid w:val="786646C8"/>
    <w:rsid w:val="7902700A"/>
    <w:rsid w:val="79205CC9"/>
    <w:rsid w:val="7928668B"/>
    <w:rsid w:val="795E1D37"/>
    <w:rsid w:val="796A75FC"/>
    <w:rsid w:val="796AE7D5"/>
    <w:rsid w:val="798219D5"/>
    <w:rsid w:val="79F20909"/>
    <w:rsid w:val="79FEEC63"/>
    <w:rsid w:val="79FF26B3"/>
    <w:rsid w:val="79FF36E3"/>
    <w:rsid w:val="7A15284A"/>
    <w:rsid w:val="7A3F03DB"/>
    <w:rsid w:val="7A4E2A78"/>
    <w:rsid w:val="7A826251"/>
    <w:rsid w:val="7ABD4A3F"/>
    <w:rsid w:val="7ADFF7D4"/>
    <w:rsid w:val="7AE2097E"/>
    <w:rsid w:val="7AFD7D67"/>
    <w:rsid w:val="7B3740FA"/>
    <w:rsid w:val="7B773CA1"/>
    <w:rsid w:val="7B9C7BFF"/>
    <w:rsid w:val="7B9DEADD"/>
    <w:rsid w:val="7BA93C04"/>
    <w:rsid w:val="7BB70231"/>
    <w:rsid w:val="7BB8348D"/>
    <w:rsid w:val="7BBE0710"/>
    <w:rsid w:val="7BFD37A1"/>
    <w:rsid w:val="7BFF38CA"/>
    <w:rsid w:val="7C0C44D2"/>
    <w:rsid w:val="7C4E27D2"/>
    <w:rsid w:val="7C4E3A96"/>
    <w:rsid w:val="7C642306"/>
    <w:rsid w:val="7CA73A07"/>
    <w:rsid w:val="7CDF1C84"/>
    <w:rsid w:val="7CFF7384"/>
    <w:rsid w:val="7D246CD8"/>
    <w:rsid w:val="7D2E159E"/>
    <w:rsid w:val="7D641B1E"/>
    <w:rsid w:val="7DA72962"/>
    <w:rsid w:val="7DBD122E"/>
    <w:rsid w:val="7DD27EB7"/>
    <w:rsid w:val="7DFC463F"/>
    <w:rsid w:val="7DFDA6EE"/>
    <w:rsid w:val="7E2A1B09"/>
    <w:rsid w:val="7E5FB7E5"/>
    <w:rsid w:val="7E677BC0"/>
    <w:rsid w:val="7E7062A0"/>
    <w:rsid w:val="7E931D21"/>
    <w:rsid w:val="7EAF1AD1"/>
    <w:rsid w:val="7EB30AC7"/>
    <w:rsid w:val="7ECF4257"/>
    <w:rsid w:val="7EE860D8"/>
    <w:rsid w:val="7EEF97A9"/>
    <w:rsid w:val="7EFEFBF2"/>
    <w:rsid w:val="7F3DDED2"/>
    <w:rsid w:val="7F6B8197"/>
    <w:rsid w:val="7F6D81D8"/>
    <w:rsid w:val="7F7E38B3"/>
    <w:rsid w:val="7FA97CBC"/>
    <w:rsid w:val="7FAFE39F"/>
    <w:rsid w:val="7FC06860"/>
    <w:rsid w:val="7FC17F57"/>
    <w:rsid w:val="7FD95211"/>
    <w:rsid w:val="7FD96A2F"/>
    <w:rsid w:val="7FDB12E8"/>
    <w:rsid w:val="7FEEE28F"/>
    <w:rsid w:val="7FEF4688"/>
    <w:rsid w:val="7FF22B2C"/>
    <w:rsid w:val="7FF371F8"/>
    <w:rsid w:val="7FF6C615"/>
    <w:rsid w:val="7FF7091B"/>
    <w:rsid w:val="7FFE1CA7"/>
    <w:rsid w:val="7FFE7DF7"/>
    <w:rsid w:val="7FFE9816"/>
    <w:rsid w:val="7FFF011A"/>
    <w:rsid w:val="8DFED673"/>
    <w:rsid w:val="95FA0FF9"/>
    <w:rsid w:val="9ADDF6B2"/>
    <w:rsid w:val="9B7BC92A"/>
    <w:rsid w:val="9BB95B63"/>
    <w:rsid w:val="9EFF3625"/>
    <w:rsid w:val="9F7E4E3C"/>
    <w:rsid w:val="9FEEC75A"/>
    <w:rsid w:val="A1FB67FB"/>
    <w:rsid w:val="AAF7BDE4"/>
    <w:rsid w:val="AEFF5C39"/>
    <w:rsid w:val="AFDCD0D0"/>
    <w:rsid w:val="B27DBB21"/>
    <w:rsid w:val="B4E73B81"/>
    <w:rsid w:val="B4F71FF9"/>
    <w:rsid w:val="B6965889"/>
    <w:rsid w:val="B6FE0730"/>
    <w:rsid w:val="B71F6815"/>
    <w:rsid w:val="B7478179"/>
    <w:rsid w:val="B8EFFECD"/>
    <w:rsid w:val="B9633B98"/>
    <w:rsid w:val="B9F159EC"/>
    <w:rsid w:val="BF6578F3"/>
    <w:rsid w:val="BF9FE467"/>
    <w:rsid w:val="BFB593DC"/>
    <w:rsid w:val="BFDFD544"/>
    <w:rsid w:val="BFEE2F62"/>
    <w:rsid w:val="C7DF39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w:uiPriority="99" w:qFormat="1"/>
    <w:lsdException w:name="Body Text Indent" w:uiPriority="99" w:qFormat="1"/>
    <w:lsdException w:name="Subtitle" w:uiPriority="99" w:qFormat="1"/>
    <w:lsdException w:name="Body Text First Indent" w:qFormat="1"/>
    <w:lsdException w:name="Body Text First Indent 2" w:uiPriority="99"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3"/>
    <w:qFormat/>
    <w:pPr>
      <w:spacing w:line="560" w:lineRule="exact"/>
      <w:jc w:val="both"/>
    </w:pPr>
    <w:rPr>
      <w:rFonts w:eastAsia="方正仿宋_GBK"/>
      <w:kern w:val="2"/>
      <w:sz w:val="32"/>
      <w:szCs w:val="32"/>
    </w:rPr>
  </w:style>
  <w:style w:type="paragraph" w:styleId="1">
    <w:name w:val="heading 1"/>
    <w:basedOn w:val="a"/>
    <w:next w:val="a"/>
    <w:qFormat/>
    <w:pPr>
      <w:keepNext/>
      <w:keepLines/>
      <w:adjustRightInd w:val="0"/>
      <w:snapToGrid w:val="0"/>
      <w:spacing w:line="360" w:lineRule="auto"/>
      <w:outlineLvl w:val="0"/>
    </w:pPr>
    <w:rPr>
      <w:rFonts w:eastAsia="仿宋_GB2312"/>
      <w:b/>
      <w:kern w:val="44"/>
    </w:rPr>
  </w:style>
  <w:style w:type="paragraph" w:styleId="2">
    <w:name w:val="heading 2"/>
    <w:basedOn w:val="a"/>
    <w:next w:val="a"/>
    <w:uiPriority w:val="9"/>
    <w:unhideWhenUsed/>
    <w:qFormat/>
    <w:pPr>
      <w:keepNext/>
      <w:keepLines/>
      <w:adjustRightInd w:val="0"/>
      <w:snapToGrid w:val="0"/>
      <w:spacing w:line="360" w:lineRule="auto"/>
      <w:outlineLvl w:val="1"/>
    </w:pPr>
    <w:rPr>
      <w:rFonts w:ascii="Arial" w:eastAsia="仿宋_GB2312" w:hAnsi="Arial"/>
      <w:b/>
    </w:rPr>
  </w:style>
  <w:style w:type="paragraph" w:styleId="3">
    <w:name w:val="heading 3"/>
    <w:basedOn w:val="a"/>
    <w:next w:val="a"/>
    <w:unhideWhenUsed/>
    <w:qFormat/>
    <w:pPr>
      <w:keepNext/>
      <w:keepLines/>
      <w:adjustRightInd w:val="0"/>
      <w:snapToGrid w:val="0"/>
      <w:spacing w:line="360" w:lineRule="auto"/>
      <w:ind w:firstLineChars="200" w:firstLine="880"/>
      <w:outlineLvl w:val="2"/>
    </w:pPr>
    <w:rPr>
      <w:rFonts w:eastAsia="仿宋_GB2312"/>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uiPriority w:val="99"/>
    <w:qFormat/>
    <w:pPr>
      <w:spacing w:after="120"/>
    </w:pPr>
    <w:rPr>
      <w:rFonts w:eastAsia="仿宋_GB2312"/>
      <w:szCs w:val="20"/>
    </w:rPr>
  </w:style>
  <w:style w:type="paragraph" w:customStyle="1" w:styleId="a4">
    <w:name w:val="一级条标题"/>
    <w:basedOn w:val="a5"/>
    <w:next w:val="a6"/>
    <w:qFormat/>
    <w:pPr>
      <w:tabs>
        <w:tab w:val="left" w:pos="907"/>
      </w:tabs>
      <w:spacing w:before="0" w:after="0"/>
      <w:ind w:left="907" w:hanging="907"/>
      <w:outlineLvl w:val="2"/>
    </w:pPr>
    <w:rPr>
      <w:rFonts w:hAnsi="宋体"/>
      <w:kern w:val="0"/>
      <w:sz w:val="20"/>
      <w:szCs w:val="20"/>
    </w:rPr>
  </w:style>
  <w:style w:type="paragraph" w:customStyle="1" w:styleId="a5">
    <w:name w:val="章标题"/>
    <w:next w:val="a"/>
    <w:qFormat/>
    <w:pPr>
      <w:tabs>
        <w:tab w:val="left" w:pos="810"/>
        <w:tab w:val="left" w:pos="1265"/>
      </w:tabs>
      <w:spacing w:before="50" w:after="50"/>
      <w:ind w:left="810" w:hanging="810"/>
      <w:jc w:val="both"/>
      <w:outlineLvl w:val="1"/>
    </w:pPr>
    <w:rPr>
      <w:rFonts w:ascii="黑体" w:eastAsia="黑体" w:hAnsi="Calibri"/>
      <w:kern w:val="2"/>
      <w:sz w:val="21"/>
      <w:szCs w:val="22"/>
    </w:rPr>
  </w:style>
  <w:style w:type="paragraph" w:customStyle="1" w:styleId="a6">
    <w:name w:val="段"/>
    <w:next w:val="A7"/>
    <w:qFormat/>
    <w:pPr>
      <w:tabs>
        <w:tab w:val="center" w:pos="4201"/>
        <w:tab w:val="right" w:leader="dot" w:pos="9298"/>
      </w:tabs>
      <w:autoSpaceDE w:val="0"/>
      <w:autoSpaceDN w:val="0"/>
      <w:ind w:firstLineChars="200" w:firstLine="420"/>
      <w:jc w:val="both"/>
    </w:pPr>
    <w:rPr>
      <w:rFonts w:ascii="宋体"/>
      <w:sz w:val="21"/>
    </w:rPr>
  </w:style>
  <w:style w:type="paragraph" w:customStyle="1" w:styleId="A7">
    <w:name w:val="正文 A"/>
    <w:next w:val="a6"/>
    <w:qFormat/>
    <w:pPr>
      <w:widowControl w:val="0"/>
      <w:jc w:val="both"/>
    </w:pPr>
    <w:rPr>
      <w:rFonts w:eastAsia="Calibri" w:cs="Calibri"/>
      <w:color w:val="000000"/>
      <w:kern w:val="2"/>
      <w:sz w:val="21"/>
      <w:szCs w:val="21"/>
    </w:rPr>
  </w:style>
  <w:style w:type="paragraph" w:styleId="a8">
    <w:name w:val="Body Text Indent"/>
    <w:basedOn w:val="a"/>
    <w:uiPriority w:val="99"/>
    <w:qFormat/>
    <w:pPr>
      <w:widowControl w:val="0"/>
      <w:spacing w:after="120"/>
      <w:ind w:leftChars="200" w:left="420"/>
    </w:pPr>
    <w:rPr>
      <w:rFonts w:ascii="Calibri" w:hAnsi="Calibri"/>
      <w:sz w:val="21"/>
    </w:rPr>
  </w:style>
  <w:style w:type="paragraph" w:styleId="a9">
    <w:name w:val="Plain Text"/>
    <w:basedOn w:val="a"/>
    <w:uiPriority w:val="99"/>
    <w:qFormat/>
    <w:pPr>
      <w:adjustRightInd w:val="0"/>
      <w:snapToGrid w:val="0"/>
      <w:spacing w:line="600" w:lineRule="exact"/>
      <w:ind w:firstLineChars="200" w:firstLine="880"/>
    </w:pPr>
    <w:rPr>
      <w:rFonts w:ascii="宋体" w:hAnsi="宋体"/>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10">
    <w:name w:val="toc 1"/>
    <w:basedOn w:val="a"/>
    <w:next w:val="a"/>
    <w:qFormat/>
  </w:style>
  <w:style w:type="paragraph" w:styleId="ac">
    <w:name w:val="Subtitle"/>
    <w:basedOn w:val="a"/>
    <w:next w:val="a"/>
    <w:uiPriority w:val="99"/>
    <w:qFormat/>
    <w:pPr>
      <w:widowControl w:val="0"/>
      <w:spacing w:line="240" w:lineRule="auto"/>
      <w:ind w:firstLineChars="200" w:firstLine="200"/>
      <w:jc w:val="left"/>
      <w:outlineLvl w:val="2"/>
    </w:pPr>
    <w:rPr>
      <w:rFonts w:ascii="Cambria" w:eastAsia="黑体" w:hAnsi="Cambria"/>
      <w:bCs/>
      <w:kern w:val="28"/>
      <w:sz w:val="28"/>
    </w:rPr>
  </w:style>
  <w:style w:type="paragraph" w:styleId="ad">
    <w:name w:val="footnote text"/>
    <w:basedOn w:val="a"/>
    <w:qFormat/>
    <w:pPr>
      <w:snapToGrid w:val="0"/>
      <w:jc w:val="left"/>
    </w:pPr>
    <w:rPr>
      <w:sz w:val="18"/>
    </w:rPr>
  </w:style>
  <w:style w:type="paragraph" w:styleId="20">
    <w:name w:val="toc 2"/>
    <w:basedOn w:val="a"/>
    <w:next w:val="a"/>
    <w:qFormat/>
    <w:pPr>
      <w:ind w:leftChars="200" w:left="420"/>
    </w:pPr>
  </w:style>
  <w:style w:type="paragraph" w:styleId="ae">
    <w:name w:val="Normal (Web)"/>
    <w:basedOn w:val="a"/>
    <w:qFormat/>
    <w:pPr>
      <w:spacing w:beforeAutospacing="1" w:afterAutospacing="1"/>
      <w:jc w:val="left"/>
    </w:pPr>
    <w:rPr>
      <w:kern w:val="0"/>
      <w:sz w:val="24"/>
    </w:rPr>
  </w:style>
  <w:style w:type="paragraph" w:styleId="af">
    <w:name w:val="Body Text First Indent"/>
    <w:basedOn w:val="a3"/>
    <w:qFormat/>
    <w:pPr>
      <w:spacing w:line="360" w:lineRule="auto"/>
      <w:ind w:firstLineChars="200" w:firstLine="200"/>
    </w:pPr>
    <w:rPr>
      <w:rFonts w:ascii="仿宋_GB2312"/>
      <w:sz w:val="30"/>
      <w:szCs w:val="30"/>
    </w:rPr>
  </w:style>
  <w:style w:type="paragraph" w:styleId="21">
    <w:name w:val="Body Text First Indent 2"/>
    <w:basedOn w:val="a8"/>
    <w:uiPriority w:val="99"/>
    <w:qFormat/>
    <w:pPr>
      <w:widowControl/>
      <w:wordWrap w:val="0"/>
      <w:overflowPunct w:val="0"/>
      <w:autoSpaceDE w:val="0"/>
      <w:autoSpaceDN w:val="0"/>
      <w:adjustRightInd w:val="0"/>
      <w:ind w:firstLineChars="200" w:firstLine="420"/>
      <w:textAlignment w:val="baseline"/>
    </w:pPr>
    <w:rPr>
      <w:kern w:val="0"/>
      <w:szCs w:val="21"/>
    </w:rPr>
  </w:style>
  <w:style w:type="table" w:styleId="af0">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Pr>
      <w:b/>
    </w:rPr>
  </w:style>
  <w:style w:type="character" w:styleId="af2">
    <w:name w:val="footnote reference"/>
    <w:basedOn w:val="a0"/>
    <w:qFormat/>
    <w:rPr>
      <w:vertAlign w:val="superscript"/>
    </w:rPr>
  </w:style>
  <w:style w:type="paragraph" w:customStyle="1" w:styleId="11">
    <w:name w:val="列出段落1"/>
    <w:basedOn w:val="a"/>
    <w:qFormat/>
    <w:pPr>
      <w:ind w:firstLineChars="200" w:firstLine="420"/>
    </w:pPr>
  </w:style>
  <w:style w:type="character" w:customStyle="1" w:styleId="NormalCharacter">
    <w:name w:val="NormalCharacter"/>
    <w:qFormat/>
  </w:style>
  <w:style w:type="character" w:customStyle="1" w:styleId="UserStyle0">
    <w:name w:val="UserStyle_0"/>
    <w:qFormat/>
  </w:style>
  <w:style w:type="character" w:customStyle="1" w:styleId="font31">
    <w:name w:val="font31"/>
    <w:basedOn w:val="a0"/>
    <w:qFormat/>
    <w:rPr>
      <w:rFonts w:ascii="仿宋_GB2312" w:eastAsia="仿宋_GB2312" w:cs="仿宋_GB2312" w:hint="eastAsia"/>
      <w:b/>
      <w:bCs/>
      <w:color w:val="000000"/>
      <w:sz w:val="24"/>
      <w:szCs w:val="24"/>
      <w:u w:val="none"/>
    </w:rPr>
  </w:style>
  <w:style w:type="character" w:customStyle="1" w:styleId="font01">
    <w:name w:val="font01"/>
    <w:basedOn w:val="a0"/>
    <w:qFormat/>
    <w:rPr>
      <w:rFonts w:ascii="仿宋_GB2312" w:eastAsia="仿宋_GB2312" w:cs="仿宋_GB2312" w:hint="eastAsia"/>
      <w:color w:val="000000"/>
      <w:sz w:val="24"/>
      <w:szCs w:val="24"/>
      <w:u w:val="none"/>
    </w:rPr>
  </w:style>
  <w:style w:type="paragraph" w:styleId="af3">
    <w:name w:val="List Paragraph"/>
    <w:basedOn w:val="a"/>
    <w:uiPriority w:val="34"/>
    <w:qFormat/>
    <w:pPr>
      <w:ind w:firstLineChars="200" w:firstLine="420"/>
    </w:p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font41">
    <w:name w:val="font41"/>
    <w:basedOn w:val="a0"/>
    <w:qFormat/>
    <w:rPr>
      <w:rFonts w:ascii="仿宋" w:eastAsia="仿宋" w:hAnsi="仿宋" w:cs="仿宋" w:hint="eastAsia"/>
      <w:color w:val="000000"/>
      <w:sz w:val="21"/>
      <w:szCs w:val="21"/>
      <w:u w:val="none"/>
    </w:rPr>
  </w:style>
  <w:style w:type="character" w:customStyle="1" w:styleId="font11">
    <w:name w:val="font11"/>
    <w:basedOn w:val="a0"/>
    <w:qFormat/>
    <w:rPr>
      <w:rFonts w:ascii="仿宋" w:eastAsia="仿宋" w:hAnsi="仿宋" w:cs="仿宋" w:hint="eastAsia"/>
      <w:color w:val="000000"/>
      <w:sz w:val="21"/>
      <w:szCs w:val="21"/>
      <w:u w:val="none"/>
    </w:rPr>
  </w:style>
  <w:style w:type="character" w:customStyle="1" w:styleId="font21">
    <w:name w:val="font21"/>
    <w:basedOn w:val="a0"/>
    <w:qFormat/>
    <w:rPr>
      <w:rFonts w:ascii="Times New Roman" w:hAnsi="Times New Roman" w:cs="Times New Roman" w:hint="default"/>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1866</Words>
  <Characters>10642</Characters>
  <Application>Microsoft Office Word</Application>
  <DocSecurity>0</DocSecurity>
  <Lines>88</Lines>
  <Paragraphs>24</Paragraphs>
  <ScaleCrop>false</ScaleCrop>
  <Company/>
  <LinksUpToDate>false</LinksUpToDate>
  <CharactersWithSpaces>12484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NTKO</cp:lastModifiedBy>
  <cp:revision>13</cp:revision>
  <cp:lastPrinted>2026-06-07T19:06:00Z</cp:lastPrinted>
  <dcterms:created xsi:type="dcterms:W3CDTF">2023-06-09T04:54:00Z</dcterms:created>
  <dcterms:modified xsi:type="dcterms:W3CDTF">2026-09-22T06:48:00Z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7486C199EA0041158A904C0A59224F8B_13</vt:lpwstr>
  </property>
  <property fmtid="{D5CDD505-2E9C-101B-9397-08002B2CF9AE}" pid="4" name="KSOTemplateDocerSaveRecord">
    <vt:lpwstr>eyJoZGlkIjoiOGJiYzkxZGM0YzFiODhkMmIyM2Y3NjBiNzdiYzAzNzUiLCJ1c2VySWQiOiI4NzE5NzA0MzAifQ==</vt:lpwstr>
  </property>
</Properties>
</file>