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附件2</w:t>
      </w:r>
    </w:p>
    <w:p>
      <w:pPr>
        <w:keepNext w:val="0"/>
        <w:keepLines w:val="0"/>
        <w:pageBreakBefore w:val="0"/>
        <w:widowControl w:val="0"/>
        <w:kinsoku/>
        <w:wordWrap/>
        <w:overflowPunct/>
        <w:topLinePunct w:val="0"/>
        <w:autoSpaceDE/>
        <w:autoSpaceDN/>
        <w:bidi w:val="0"/>
        <w:snapToGrid/>
        <w:spacing w:line="560" w:lineRule="exact"/>
        <w:jc w:val="center"/>
        <w:rPr>
          <w:rFonts w:ascii="Times New Roman" w:eastAsia="方正小标宋_GBK"/>
          <w:bCs/>
          <w:color w:val="000000" w:themeColor="text1"/>
          <w:sz w:val="44"/>
          <w:szCs w:val="44"/>
          <w14:textFill>
            <w14:solidFill>
              <w14:schemeClr w14:val="tx1"/>
            </w14:solidFill>
          </w14:textFill>
        </w:rPr>
      </w:pPr>
      <w:r>
        <w:rPr>
          <w:rFonts w:ascii="Times New Roman" w:eastAsia="方正小标宋_GBK"/>
          <w:bCs/>
          <w:color w:val="000000" w:themeColor="text1"/>
          <w:sz w:val="44"/>
          <w:szCs w:val="44"/>
          <w14:textFill>
            <w14:solidFill>
              <w14:schemeClr w14:val="tx1"/>
            </w14:solidFill>
          </w14:textFill>
        </w:rPr>
        <w:t>数据归集导则</w:t>
      </w:r>
    </w:p>
    <w:p>
      <w:pPr>
        <w:keepNext w:val="0"/>
        <w:keepLines w:val="0"/>
        <w:pageBreakBefore w:val="0"/>
        <w:widowControl w:val="0"/>
        <w:kinsoku/>
        <w:wordWrap/>
        <w:overflowPunct/>
        <w:topLinePunct w:val="0"/>
        <w:autoSpaceDE/>
        <w:autoSpaceDN/>
        <w:bidi w:val="0"/>
        <w:snapToGrid/>
        <w:spacing w:line="560" w:lineRule="exact"/>
        <w:rPr>
          <w:rFonts w:ascii="Times New Roman" w:eastAsia="方正小标宋_GBK"/>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一、归集主体</w:t>
      </w:r>
    </w:p>
    <w:p>
      <w:pPr>
        <w:pStyle w:val="2"/>
        <w:keepNext w:val="0"/>
        <w:keepLines w:val="0"/>
        <w:pageBreakBefore w:val="0"/>
        <w:widowControl w:val="0"/>
        <w:kinsoku/>
        <w:wordWrap/>
        <w:overflowPunct/>
        <w:topLinePunct w:val="0"/>
        <w:autoSpaceDE/>
        <w:autoSpaceDN/>
        <w:bidi w:val="0"/>
        <w:snapToGrid/>
        <w:spacing w:line="560" w:lineRule="exact"/>
      </w:pPr>
      <w:r>
        <w:rPr>
          <w:rFonts w:ascii="Times New Roman" w:eastAsia="方正仿宋_GBK"/>
          <w:color w:val="000000" w:themeColor="text1"/>
          <w:szCs w:val="32"/>
          <w14:textFill>
            <w14:solidFill>
              <w14:schemeClr w14:val="tx1"/>
            </w14:solidFill>
          </w14:textFill>
        </w:rPr>
        <w:t>立项审批、概算审批、招标投标、施工许可、竣工验收、竣工结算环节归集主体为各业务单位，合同签订、合同履约环节归集主体为招标人，由各行政监督部门督促归集。</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二、归集范围</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2023年1月1日以来所有已立项</w:t>
      </w:r>
      <w:r>
        <w:rPr>
          <w:rFonts w:hint="eastAsia" w:ascii="Times New Roman" w:eastAsia="方正仿宋_GBK"/>
          <w:color w:val="000000" w:themeColor="text1"/>
          <w:szCs w:val="32"/>
          <w14:textFill>
            <w14:solidFill>
              <w14:schemeClr w14:val="tx1"/>
            </w14:solidFill>
          </w14:textFill>
        </w:rPr>
        <w:t>及进场交易</w:t>
      </w:r>
      <w:r>
        <w:rPr>
          <w:rFonts w:ascii="Times New Roman" w:eastAsia="方正仿宋_GBK"/>
          <w:color w:val="000000" w:themeColor="text1"/>
          <w:szCs w:val="32"/>
          <w14:textFill>
            <w14:solidFill>
              <w14:schemeClr w14:val="tx1"/>
            </w14:solidFill>
          </w14:textFill>
        </w:rPr>
        <w:t>的工程建设项目。</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黑体_GBK"/>
          <w:color w:val="000000" w:themeColor="text1"/>
          <w:szCs w:val="32"/>
          <w14:textFill>
            <w14:solidFill>
              <w14:schemeClr w14:val="tx1"/>
            </w14:solidFill>
          </w14:textFill>
        </w:rPr>
      </w:pPr>
      <w:r>
        <w:rPr>
          <w:rFonts w:ascii="Times New Roman" w:eastAsia="方正黑体_GBK"/>
          <w:color w:val="000000" w:themeColor="text1"/>
          <w:szCs w:val="32"/>
          <w14:textFill>
            <w14:solidFill>
              <w14:schemeClr w14:val="tx1"/>
            </w14:solidFill>
          </w14:textFill>
        </w:rPr>
        <w:t>三、归集要求</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华文楷体"/>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（一）数据归集</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华文楷体"/>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各业务单位按照管辖权限明确各自业务数据推送的源头业务系统及对接方式，负责报送字段数据并确保真实性、准确性、完整性、及时性。</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华文楷体"/>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（二）源头业务系统</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各环节关联的源头业务系统，应按照市数据主管部门制定的统一数据标准实时推送数据，并持续优化系统功能，保障平台高效运行与数据有效利用。</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华文楷体"/>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（三）具体要求</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华文楷体"/>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1.</w:t>
      </w:r>
      <w:r>
        <w:rPr>
          <w:rFonts w:ascii="Times New Roman" w:eastAsia="方正仿宋_GBK"/>
          <w:color w:val="000000" w:themeColor="text1"/>
          <w:szCs w:val="32"/>
          <w14:textFill>
            <w14:solidFill>
              <w14:schemeClr w14:val="tx1"/>
            </w14:solidFill>
          </w14:textFill>
        </w:rPr>
        <w:t>立项、初步设计及概算批复（含调整）后，相关审批部门需在5个工作日内通过源头业务系统推送相关字段数据及批复文件，确保字段数据与批复文件内容一致。</w:t>
      </w:r>
      <w:bookmarkStart w:id="0" w:name="_GoBack"/>
      <w:bookmarkEnd w:id="0"/>
    </w:p>
    <w:p>
      <w:pPr>
        <w:keepNext w:val="0"/>
        <w:keepLines w:val="0"/>
        <w:pageBreakBefore w:val="0"/>
        <w:widowControl w:val="0"/>
        <w:kinsoku/>
        <w:wordWrap/>
        <w:overflowPunct/>
        <w:topLinePunct w:val="0"/>
        <w:autoSpaceDE/>
        <w:autoSpaceDN/>
        <w:bidi w:val="0"/>
        <w:snapToGrid/>
        <w:spacing w:line="560" w:lineRule="exact"/>
        <w:ind w:firstLine="640" w:firstLineChars="200"/>
        <w:rPr>
          <w:color w:val="000000" w:themeColor="text1"/>
          <w14:textFill>
            <w14:solidFill>
              <w14:schemeClr w14:val="tx1"/>
            </w14:solidFill>
          </w14:textFill>
        </w:rPr>
      </w:pPr>
      <w:r>
        <w:rPr>
          <w:rFonts w:ascii="Times New Roman" w:eastAsia="华文楷体"/>
          <w:color w:val="000000" w:themeColor="text1"/>
          <w:szCs w:val="32"/>
          <w14:textFill>
            <w14:solidFill>
              <w14:schemeClr w14:val="tx1"/>
            </w14:solidFill>
          </w14:textFill>
        </w:rPr>
        <w:t>2.</w:t>
      </w:r>
      <w:r>
        <w:rPr>
          <w:rFonts w:ascii="Times New Roman" w:eastAsia="方正仿宋_GBK"/>
          <w:color w:val="000000" w:themeColor="text1"/>
          <w:szCs w:val="32"/>
          <w14:textFill>
            <w14:solidFill>
              <w14:schemeClr w14:val="tx1"/>
            </w14:solidFill>
          </w14:textFill>
        </w:rPr>
        <w:t>立项、初步设计及概算合并审批的（即立项和初步设计及概算审批在同一审批流程中同步完成，为同一批文），阳光招投标综合监管平台</w:t>
      </w:r>
      <w:r>
        <w:rPr>
          <w:rFonts w:hint="eastAsia" w:ascii="Times New Roman" w:eastAsia="方正仿宋_GBK"/>
          <w:color w:val="000000" w:themeColor="text1"/>
          <w:szCs w:val="32"/>
          <w14:textFill>
            <w14:solidFill>
              <w14:schemeClr w14:val="tx1"/>
            </w14:solidFill>
          </w14:textFill>
        </w:rPr>
        <w:t>根据监管部门确定的映射规则</w:t>
      </w:r>
      <w:r>
        <w:rPr>
          <w:rFonts w:ascii="Times New Roman" w:eastAsia="方正仿宋_GBK"/>
          <w:color w:val="000000" w:themeColor="text1"/>
          <w:szCs w:val="32"/>
          <w14:textFill>
            <w14:solidFill>
              <w14:schemeClr w14:val="tx1"/>
            </w14:solidFill>
          </w14:textFill>
        </w:rPr>
        <w:t>在概算审批环节自动关联带入相应立项批复环节中的字段数据及批复文件，确保数据连贯一致。</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华文楷体"/>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3.</w:t>
      </w:r>
      <w:r>
        <w:rPr>
          <w:rFonts w:ascii="Times New Roman" w:eastAsia="方正仿宋_GBK"/>
          <w:color w:val="000000" w:themeColor="text1"/>
          <w:szCs w:val="32"/>
          <w14:textFill>
            <w14:solidFill>
              <w14:schemeClr w14:val="tx1"/>
            </w14:solidFill>
          </w14:textFill>
        </w:rPr>
        <w:t>依法必须招标的工程建设项目，市</w:t>
      </w:r>
      <w:r>
        <w:rPr>
          <w:rFonts w:hint="eastAsia" w:ascii="Times New Roman" w:eastAsia="方正仿宋_GBK"/>
          <w:color w:val="000000" w:themeColor="text1"/>
          <w:szCs w:val="32"/>
          <w14:textFill>
            <w14:solidFill>
              <w14:schemeClr w14:val="tx1"/>
            </w14:solidFill>
          </w14:textFill>
        </w:rPr>
        <w:t>数据局</w:t>
      </w:r>
      <w:r>
        <w:rPr>
          <w:rFonts w:ascii="Times New Roman" w:eastAsia="方正仿宋_GBK"/>
          <w:color w:val="000000" w:themeColor="text1"/>
          <w:szCs w:val="32"/>
          <w14:textFill>
            <w14:solidFill>
              <w14:schemeClr w14:val="tx1"/>
            </w14:solidFill>
          </w14:textFill>
        </w:rPr>
        <w:t>负责招标投标全过程数据归集。</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4.</w:t>
      </w:r>
      <w:r>
        <w:rPr>
          <w:rFonts w:ascii="Times New Roman" w:eastAsia="方正仿宋_GBK"/>
          <w:color w:val="000000" w:themeColor="text1"/>
          <w:szCs w:val="32"/>
          <w14:textFill>
            <w14:solidFill>
              <w14:schemeClr w14:val="tx1"/>
            </w14:solidFill>
          </w14:textFill>
        </w:rPr>
        <w:t>依法</w:t>
      </w:r>
      <w:r>
        <w:rPr>
          <w:rFonts w:hint="eastAsia" w:ascii="Times New Roman" w:eastAsia="方正仿宋_GBK"/>
          <w:color w:val="000000" w:themeColor="text1"/>
          <w:szCs w:val="32"/>
          <w14:textFill>
            <w14:solidFill>
              <w14:schemeClr w14:val="tx1"/>
            </w14:solidFill>
          </w14:textFill>
        </w:rPr>
        <w:t>必须</w:t>
      </w:r>
      <w:r>
        <w:rPr>
          <w:rFonts w:ascii="Times New Roman" w:eastAsia="方正仿宋_GBK"/>
          <w:color w:val="000000" w:themeColor="text1"/>
          <w:szCs w:val="32"/>
          <w14:textFill>
            <w14:solidFill>
              <w14:schemeClr w14:val="tx1"/>
            </w14:solidFill>
          </w14:textFill>
        </w:rPr>
        <w:t>招标项目的</w:t>
      </w:r>
      <w:r>
        <w:rPr>
          <w:rFonts w:hint="eastAsia" w:ascii="Times New Roman" w:eastAsia="方正仿宋_GBK"/>
          <w:color w:val="000000" w:themeColor="text1"/>
          <w:szCs w:val="32"/>
          <w14:textFill>
            <w14:solidFill>
              <w14:schemeClr w14:val="tx1"/>
            </w14:solidFill>
          </w14:textFill>
        </w:rPr>
        <w:t>工程建设项目</w:t>
      </w:r>
      <w:r>
        <w:rPr>
          <w:rFonts w:ascii="Times New Roman" w:eastAsia="方正仿宋_GBK"/>
          <w:color w:val="000000" w:themeColor="text1"/>
          <w:szCs w:val="32"/>
          <w14:textFill>
            <w14:solidFill>
              <w14:schemeClr w14:val="tx1"/>
            </w14:solidFill>
          </w14:textFill>
        </w:rPr>
        <w:t>合同、补充协议及其分包合同，招标人应在签订后5个工作日内完成归集。</w:t>
      </w:r>
      <w:r>
        <w:rPr>
          <w:rFonts w:hint="eastAsia" w:ascii="Times New Roman" w:eastAsia="方正仿宋_GBK"/>
          <w:color w:val="000000" w:themeColor="text1"/>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方正仿宋_GBK"/>
          <w:color w:val="000000" w:themeColor="text1"/>
          <w:szCs w:val="32"/>
          <w14:textFill>
            <w14:solidFill>
              <w14:schemeClr w14:val="tx1"/>
            </w14:solidFill>
          </w14:textFill>
        </w:rPr>
        <w:t>合同</w:t>
      </w:r>
      <w:r>
        <w:rPr>
          <w:rFonts w:hint="eastAsia" w:ascii="Times New Roman" w:eastAsia="方正仿宋_GBK"/>
          <w:color w:val="000000" w:themeColor="text1"/>
          <w:szCs w:val="32"/>
          <w14:textFill>
            <w14:solidFill>
              <w14:schemeClr w14:val="tx1"/>
            </w14:solidFill>
          </w14:textFill>
        </w:rPr>
        <w:t>应</w:t>
      </w:r>
      <w:r>
        <w:rPr>
          <w:rFonts w:ascii="Times New Roman" w:eastAsia="方正仿宋_GBK"/>
          <w:color w:val="000000" w:themeColor="text1"/>
          <w:szCs w:val="32"/>
          <w14:textFill>
            <w14:solidFill>
              <w14:schemeClr w14:val="tx1"/>
            </w14:solidFill>
          </w14:textFill>
        </w:rPr>
        <w:t>包含完整合同协议书、专用条款</w:t>
      </w:r>
      <w:r>
        <w:rPr>
          <w:rFonts w:hint="eastAsia" w:ascii="Times New Roman" w:eastAsia="方正仿宋_GBK"/>
          <w:color w:val="000000" w:themeColor="text1"/>
          <w:szCs w:val="32"/>
          <w14:textFill>
            <w14:solidFill>
              <w14:schemeClr w14:val="tx1"/>
            </w14:solidFill>
          </w14:textFill>
        </w:rPr>
        <w:t>、</w:t>
      </w:r>
      <w:r>
        <w:rPr>
          <w:rFonts w:ascii="Times New Roman" w:eastAsia="方正仿宋_GBK"/>
          <w:color w:val="000000" w:themeColor="text1"/>
          <w:szCs w:val="32"/>
          <w14:textFill>
            <w14:solidFill>
              <w14:schemeClr w14:val="tx1"/>
            </w14:solidFill>
          </w14:textFill>
        </w:rPr>
        <w:t>补充协议</w:t>
      </w:r>
      <w:r>
        <w:rPr>
          <w:rFonts w:hint="eastAsia" w:ascii="Times New Roman" w:eastAsia="方正仿宋_GBK"/>
          <w:color w:val="000000" w:themeColor="text1"/>
          <w:szCs w:val="32"/>
          <w14:textFill>
            <w14:solidFill>
              <w14:schemeClr w14:val="tx1"/>
            </w14:solidFill>
          </w14:textFill>
        </w:rPr>
        <w:t>，</w:t>
      </w:r>
      <w:r>
        <w:rPr>
          <w:rFonts w:ascii="Times New Roman" w:eastAsia="方正仿宋_GBK"/>
          <w:color w:val="000000" w:themeColor="text1"/>
          <w:szCs w:val="32"/>
          <w14:textFill>
            <w14:solidFill>
              <w14:schemeClr w14:val="tx1"/>
            </w14:solidFill>
          </w14:textFill>
        </w:rPr>
        <w:t>涉密内容按相关保密规定要求处理。</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hint="eastAsia" w:ascii="Times New Roman" w:eastAsia="方正仿宋_GBK"/>
          <w:color w:val="000000" w:themeColor="text1"/>
          <w:szCs w:val="32"/>
          <w14:textFill>
            <w14:solidFill>
              <w14:schemeClr w14:val="tx1"/>
            </w14:solidFill>
          </w14:textFill>
        </w:rPr>
        <w:t>通过</w:t>
      </w:r>
      <w:r>
        <w:rPr>
          <w:rFonts w:ascii="Times New Roman" w:eastAsia="方正仿宋_GBK"/>
          <w:color w:val="000000" w:themeColor="text1"/>
          <w:szCs w:val="32"/>
          <w14:textFill>
            <w14:solidFill>
              <w14:schemeClr w14:val="tx1"/>
            </w14:solidFill>
          </w14:textFill>
        </w:rPr>
        <w:t>“宁易新”招标投标交易系统交易项目</w:t>
      </w:r>
      <w:r>
        <w:rPr>
          <w:rFonts w:hint="eastAsia" w:ascii="Times New Roman" w:eastAsia="方正仿宋_GBK"/>
          <w:color w:val="000000" w:themeColor="text1"/>
          <w:szCs w:val="32"/>
          <w14:textFill>
            <w14:solidFill>
              <w14:schemeClr w14:val="tx1"/>
            </w14:solidFill>
          </w14:textFill>
        </w:rPr>
        <w:t>，在系统中“合同</w:t>
      </w:r>
      <w:r>
        <w:rPr>
          <w:rFonts w:ascii="Times New Roman" w:eastAsia="方正仿宋_GBK"/>
          <w:color w:val="000000" w:themeColor="text1"/>
          <w:szCs w:val="32"/>
          <w14:textFill>
            <w14:solidFill>
              <w14:schemeClr w14:val="tx1"/>
            </w14:solidFill>
          </w14:textFill>
        </w:rPr>
        <w:t>签订</w:t>
      </w:r>
      <w:r>
        <w:rPr>
          <w:rFonts w:hint="eastAsia" w:ascii="Times New Roman" w:eastAsia="方正仿宋_GBK"/>
          <w:color w:val="000000" w:themeColor="text1"/>
          <w:szCs w:val="32"/>
          <w14:textFill>
            <w14:solidFill>
              <w14:schemeClr w14:val="tx1"/>
            </w14:solidFill>
          </w14:textFill>
        </w:rPr>
        <w:t>”模块进行信息登记及文件上传。</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14:textFill>
            <w14:solidFill>
              <w14:schemeClr w14:val="tx1"/>
            </w14:solidFill>
          </w14:textFill>
        </w:rPr>
      </w:pPr>
      <w:r>
        <w:rPr>
          <w:rFonts w:ascii="Times New Roman" w:eastAsia="方正仿宋_GBK"/>
          <w:color w:val="000000" w:themeColor="text1"/>
          <w:szCs w:val="32"/>
          <w14:textFill>
            <w14:solidFill>
              <w14:schemeClr w14:val="tx1"/>
            </w14:solidFill>
          </w14:textFill>
        </w:rPr>
        <w:t>非“宁易新”系统交易项目，</w:t>
      </w:r>
      <w:r>
        <w:rPr>
          <w:rFonts w:hint="eastAsia" w:ascii="Times New Roman" w:eastAsia="方正仿宋_GBK"/>
          <w:color w:val="000000" w:themeColor="text1"/>
          <w:szCs w:val="32"/>
          <w14:textFill>
            <w14:solidFill>
              <w14:schemeClr w14:val="tx1"/>
            </w14:solidFill>
          </w14:textFill>
        </w:rPr>
        <w:t>招标人应按数据标准及规范要求，填写字段信息并</w:t>
      </w:r>
      <w:r>
        <w:rPr>
          <w:rFonts w:ascii="Times New Roman" w:eastAsia="方正仿宋_GBK"/>
          <w:color w:val="000000" w:themeColor="text1"/>
          <w:szCs w:val="32"/>
          <w14:textFill>
            <w14:solidFill>
              <w14:schemeClr w14:val="tx1"/>
            </w14:solidFill>
          </w14:textFill>
        </w:rPr>
        <w:t>将合同</w:t>
      </w:r>
      <w:r>
        <w:rPr>
          <w:rFonts w:hint="eastAsia" w:ascii="Times New Roman" w:eastAsia="方正仿宋_GBK"/>
          <w:color w:val="000000" w:themeColor="text1"/>
          <w:szCs w:val="32"/>
          <w14:textFill>
            <w14:solidFill>
              <w14:schemeClr w14:val="tx1"/>
            </w14:solidFill>
          </w14:textFill>
        </w:rPr>
        <w:t>相关文件</w:t>
      </w:r>
      <w:r>
        <w:rPr>
          <w:rFonts w:ascii="Times New Roman" w:eastAsia="方正仿宋_GBK"/>
          <w:color w:val="000000" w:themeColor="text1"/>
          <w:szCs w:val="32"/>
          <w14:textFill>
            <w14:solidFill>
              <w14:schemeClr w14:val="tx1"/>
            </w14:solidFill>
          </w14:textFill>
        </w:rPr>
        <w:t>扫描</w:t>
      </w:r>
      <w:r>
        <w:rPr>
          <w:rFonts w:hint="eastAsia" w:ascii="Times New Roman" w:eastAsia="方正仿宋_GBK"/>
          <w:color w:val="000000" w:themeColor="text1"/>
          <w:szCs w:val="32"/>
          <w14:textFill>
            <w14:solidFill>
              <w14:schemeClr w14:val="tx1"/>
            </w14:solidFill>
          </w14:textFill>
        </w:rPr>
        <w:t>成PDF文件，</w:t>
      </w:r>
      <w:r>
        <w:rPr>
          <w:rFonts w:ascii="Times New Roman" w:eastAsia="方正仿宋_GBK"/>
          <w:color w:val="000000" w:themeColor="text1"/>
          <w:szCs w:val="32"/>
          <w14:textFill>
            <w14:solidFill>
              <w14:schemeClr w14:val="tx1"/>
            </w14:solidFill>
          </w14:textFill>
        </w:rPr>
        <w:t>报</w:t>
      </w:r>
      <w:r>
        <w:rPr>
          <w:rFonts w:hint="eastAsia" w:ascii="Times New Roman" w:eastAsia="方正仿宋_GBK"/>
          <w:color w:val="000000" w:themeColor="text1"/>
          <w:szCs w:val="32"/>
          <w14:textFill>
            <w14:solidFill>
              <w14:schemeClr w14:val="tx1"/>
            </w14:solidFill>
          </w14:textFill>
        </w:rPr>
        <w:t>同级行政监督部门汇总后报市数据局，由市数据局导入市公共数据平台</w:t>
      </w:r>
      <w:r>
        <w:rPr>
          <w:rFonts w:ascii="Times New Roman" w:eastAsia="方正仿宋_GBK"/>
          <w:color w:val="000000" w:themeColor="text1"/>
          <w:szCs w:val="32"/>
          <w14:textFill>
            <w14:solidFill>
              <w14:schemeClr w14:val="tx1"/>
            </w14:solidFill>
          </w14:textFill>
        </w:rPr>
        <w:t>。</w:t>
      </w:r>
      <w:r>
        <w:rPr>
          <w:rFonts w:hint="eastAsia" w:ascii="Times New Roman" w:eastAsia="方正仿宋_GBK"/>
          <w:color w:val="000000" w:themeColor="text1"/>
          <w:szCs w:val="32"/>
          <w14:textFill>
            <w14:solidFill>
              <w14:schemeClr w14:val="tx1"/>
            </w14:solidFill>
          </w14:textFill>
        </w:rPr>
        <w:t>PDF单个文件大小不超过30MB，文件命名规则为</w:t>
      </w:r>
      <w:r>
        <w:rPr>
          <w:rFonts w:ascii="Times New Roman" w:eastAsia="方正仿宋_GBK"/>
          <w:color w:val="000000" w:themeColor="text1"/>
          <w:szCs w:val="32"/>
          <w14:textFill>
            <w14:solidFill>
              <w14:schemeClr w14:val="tx1"/>
            </w14:solidFill>
          </w14:textFill>
        </w:rPr>
        <w:t>“标段编号-标段</w:t>
      </w:r>
      <w:r>
        <w:rPr>
          <w:rFonts w:hint="eastAsia" w:ascii="Times New Roman" w:eastAsia="方正仿宋_GBK"/>
          <w:color w:val="000000" w:themeColor="text1"/>
          <w:szCs w:val="32"/>
          <w14:textFill>
            <w14:solidFill>
              <w14:schemeClr w14:val="tx1"/>
            </w14:solidFill>
          </w14:textFill>
        </w:rPr>
        <w:t>名称</w:t>
      </w:r>
      <w:r>
        <w:rPr>
          <w:rFonts w:ascii="Times New Roman" w:eastAsia="方正仿宋_GBK"/>
          <w:color w:val="000000" w:themeColor="text1"/>
          <w:szCs w:val="32"/>
          <w14:textFill>
            <w14:solidFill>
              <w14:schemeClr w14:val="tx1"/>
            </w14:solidFill>
          </w14:textFill>
        </w:rPr>
        <w:t>-合同”</w:t>
      </w:r>
      <w:r>
        <w:rPr>
          <w:rFonts w:hint="eastAsia" w:ascii="Times New Roman" w:eastAsia="方正仿宋_GBK"/>
          <w:color w:val="000000" w:themeColor="text1"/>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5.</w:t>
      </w:r>
      <w:r>
        <w:rPr>
          <w:rFonts w:ascii="Times New Roman" w:eastAsia="方正仿宋_GBK"/>
          <w:color w:val="000000" w:themeColor="text1"/>
          <w:szCs w:val="32"/>
          <w14:textFill>
            <w14:solidFill>
              <w14:schemeClr w14:val="tx1"/>
            </w14:solidFill>
          </w14:textFill>
        </w:rPr>
        <w:t>施工许可审批完成后，应实时推送施工许可信息、施工许可五方责任主体、施工许可变更等字段数据及施工许可证</w:t>
      </w:r>
      <w:r>
        <w:rPr>
          <w:rFonts w:hint="eastAsia" w:ascii="Times New Roman" w:eastAsia="方正仿宋_GBK"/>
          <w:color w:val="000000" w:themeColor="text1"/>
          <w:szCs w:val="32"/>
          <w14:textFill>
            <w14:solidFill>
              <w14:schemeClr w14:val="tx1"/>
            </w14:solidFill>
          </w14:textFill>
        </w:rPr>
        <w:t>/施工许可文书</w:t>
      </w:r>
      <w:r>
        <w:rPr>
          <w:rFonts w:ascii="Times New Roman" w:eastAsia="方正仿宋_GBK"/>
          <w:color w:val="000000" w:themeColor="text1"/>
          <w:szCs w:val="32"/>
          <w14:textFill>
            <w14:solidFill>
              <w14:schemeClr w14:val="tx1"/>
            </w14:solidFill>
          </w14:textFill>
        </w:rPr>
        <w:t>附件。</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6.</w:t>
      </w:r>
      <w:r>
        <w:rPr>
          <w:rFonts w:ascii="Times New Roman" w:eastAsia="方正仿宋_GBK"/>
          <w:color w:val="000000" w:themeColor="text1"/>
          <w:szCs w:val="32"/>
          <w14:textFill>
            <w14:solidFill>
              <w14:schemeClr w14:val="tx1"/>
            </w14:solidFill>
          </w14:textFill>
        </w:rPr>
        <w:t>依法招标的项目工程开工后5个工作日内，招标人应在“宁易新”招标投标交易系统的“合同履约及变更”模块中如实填报开工日期，并上传开工报告。</w:t>
      </w:r>
    </w:p>
    <w:p>
      <w:pPr>
        <w:pStyle w:val="2"/>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r>
        <w:rPr>
          <w:rFonts w:ascii="Times New Roman" w:eastAsia="华文楷体"/>
          <w:color w:val="000000" w:themeColor="text1"/>
          <w:szCs w:val="32"/>
          <w14:textFill>
            <w14:solidFill>
              <w14:schemeClr w14:val="tx1"/>
            </w14:solidFill>
          </w14:textFill>
        </w:rPr>
        <w:t>7.</w:t>
      </w:r>
      <w:r>
        <w:rPr>
          <w:rFonts w:ascii="Times New Roman" w:eastAsia="方正仿宋_GBK"/>
          <w:color w:val="000000" w:themeColor="text1"/>
          <w:kern w:val="2"/>
          <w:szCs w:val="32"/>
          <w14:textFill>
            <w14:solidFill>
              <w14:schemeClr w14:val="tx1"/>
            </w14:solidFill>
          </w14:textFill>
        </w:rPr>
        <w:t>竣工验收备案</w:t>
      </w:r>
      <w:r>
        <w:rPr>
          <w:rFonts w:hint="eastAsia" w:ascii="Times New Roman" w:eastAsia="方正仿宋_GBK"/>
          <w:color w:val="000000" w:themeColor="text1"/>
          <w:kern w:val="2"/>
          <w:szCs w:val="32"/>
          <w14:textFill>
            <w14:solidFill>
              <w14:schemeClr w14:val="tx1"/>
            </w14:solidFill>
          </w14:textFill>
        </w:rPr>
        <w:t>/许可</w:t>
      </w:r>
      <w:r>
        <w:rPr>
          <w:rFonts w:ascii="Times New Roman" w:eastAsia="方正仿宋_GBK"/>
          <w:color w:val="000000" w:themeColor="text1"/>
          <w:kern w:val="2"/>
          <w:szCs w:val="32"/>
          <w14:textFill>
            <w14:solidFill>
              <w14:schemeClr w14:val="tx1"/>
            </w14:solidFill>
          </w14:textFill>
        </w:rPr>
        <w:t>完成后，应实时推送竣工验收信息、竣</w:t>
      </w:r>
      <w:r>
        <w:rPr>
          <w:rFonts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工验收五方责任主体等信息及竣工验收备案表</w:t>
      </w:r>
      <w:r>
        <w:rPr>
          <w:rFonts w:hint="eastAsia"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、竣工验收报告、竣工验收文书</w:t>
      </w:r>
      <w:r>
        <w:rPr>
          <w:rFonts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（竣工联合验收意见书）附件。</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kern w:val="2"/>
          <w:szCs w:val="32"/>
          <w14:textFill>
            <w14:solidFill>
              <w14:schemeClr w14:val="tx1"/>
            </w14:solidFill>
          </w14:textFill>
        </w:rPr>
      </w:pPr>
      <w:r>
        <w:rPr>
          <w:rFonts w:ascii="Times New Roman" w:eastAsia="华文楷体"/>
          <w:color w:val="000000" w:themeColor="text1"/>
          <w:szCs w:val="32"/>
          <w14:textFill>
            <w14:solidFill>
              <w14:schemeClr w14:val="tx1"/>
            </w14:solidFill>
          </w14:textFill>
        </w:rPr>
        <w:t>8.</w:t>
      </w:r>
      <w:r>
        <w:rPr>
          <w:rFonts w:hint="eastAsia" w:ascii="Times New Roman" w:eastAsia="方正仿宋_GBK"/>
          <w:color w:val="000000" w:themeColor="text1"/>
          <w:szCs w:val="32"/>
          <w14:textFill>
            <w14:solidFill>
              <w14:schemeClr w14:val="tx1"/>
            </w14:solidFill>
          </w14:textFill>
        </w:rPr>
        <w:t>市、区两级按照管辖权限分别对市、区两级建设项目竣工决算项目进行监管，竣工决算环节数据由智慧审计平台归集到市公共数据平台。政府投资项目由审计部门负责竣工决算结果数据字段上传。国有企业自有资金投资项目竣工决算结果数据，由国资监管机构负责督促企业通过智慧审计平台向审计部门报送；未及时报送的，审计部门将相关情况反馈国资监管机构，由国资监管机构督促企业做好报送。</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hint="eastAsia" w:ascii="Times New Roman" w:eastAsia="方正仿宋_GBK"/>
          <w:color w:val="000000" w:themeColor="text1"/>
          <w:szCs w:val="32"/>
          <w14:textFill>
            <w14:solidFill>
              <w14:schemeClr w14:val="tx1"/>
            </w14:solidFill>
          </w14:textFill>
        </w:rPr>
        <w:t>（1）</w:t>
      </w:r>
      <w:r>
        <w:rPr>
          <w:rFonts w:ascii="Times New Roman" w:eastAsia="方正仿宋_GBK"/>
          <w:color w:val="000000" w:themeColor="text1"/>
          <w:szCs w:val="32"/>
          <w14:textFill>
            <w14:solidFill>
              <w14:schemeClr w14:val="tx1"/>
            </w14:solidFill>
          </w14:textFill>
        </w:rPr>
        <w:t>项目单位、项目集中建设单位在项目建成完工后，应当在3个月内编报竣工财务决算，特殊情况下不得超过6个月</w:t>
      </w:r>
      <w:r>
        <w:rPr>
          <w:rFonts w:hint="eastAsia" w:ascii="Times New Roman" w:eastAsia="方正仿宋_GBK"/>
          <w:color w:val="000000" w:themeColor="text1"/>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hint="eastAsia" w:ascii="Times New Roman" w:eastAsia="方正仿宋_GBK"/>
          <w:color w:val="000000" w:themeColor="text1"/>
          <w:szCs w:val="32"/>
          <w14:textFill>
            <w14:solidFill>
              <w14:schemeClr w14:val="tx1"/>
            </w14:solidFill>
          </w14:textFill>
        </w:rPr>
        <w:t>（2）</w:t>
      </w:r>
      <w:r>
        <w:rPr>
          <w:rFonts w:ascii="Times New Roman" w:eastAsia="方正仿宋_GBK"/>
          <w:color w:val="000000" w:themeColor="text1"/>
          <w:szCs w:val="32"/>
          <w14:textFill>
            <w14:solidFill>
              <w14:schemeClr w14:val="tx1"/>
            </w14:solidFill>
          </w14:textFill>
        </w:rPr>
        <w:t>市级政府投资城建项目可参照相应管理办法，由项目单位在竣工验收合格后一年内，编报竣工决算；</w:t>
      </w:r>
    </w:p>
    <w:p>
      <w:pPr>
        <w:keepNext w:val="0"/>
        <w:keepLines w:val="0"/>
        <w:pageBreakBefore w:val="0"/>
        <w:widowControl w:val="0"/>
        <w:kinsoku/>
        <w:wordWrap/>
        <w:overflowPunct/>
        <w:topLinePunct w:val="0"/>
        <w:autoSpaceDE/>
        <w:autoSpaceDN/>
        <w:bidi w:val="0"/>
        <w:snapToGrid/>
        <w:spacing w:line="560" w:lineRule="exact"/>
        <w:ind w:firstLine="640" w:firstLineChars="200"/>
        <w:rPr>
          <w:rFonts w:ascii="Times New Roman" w:eastAsia="方正仿宋_GBK"/>
          <w:color w:val="000000" w:themeColor="text1"/>
          <w:szCs w:val="32"/>
          <w14:textFill>
            <w14:solidFill>
              <w14:schemeClr w14:val="tx1"/>
            </w14:solidFill>
          </w14:textFill>
        </w:rPr>
      </w:pPr>
      <w:r>
        <w:rPr>
          <w:rFonts w:hint="eastAsia" w:ascii="Times New Roman" w:eastAsia="方正仿宋_GBK"/>
          <w:color w:val="000000" w:themeColor="text1"/>
          <w:szCs w:val="32"/>
          <w14:textFill>
            <w14:solidFill>
              <w14:schemeClr w14:val="tx1"/>
            </w14:solidFill>
          </w14:textFill>
        </w:rPr>
        <w:t>（3）相关信息均</w:t>
      </w:r>
      <w:r>
        <w:rPr>
          <w:rFonts w:ascii="Times New Roman" w:eastAsia="方正仿宋_GBK"/>
          <w:color w:val="000000" w:themeColor="text1"/>
          <w:szCs w:val="32"/>
          <w14:textFill>
            <w14:solidFill>
              <w14:schemeClr w14:val="tx1"/>
            </w14:solidFill>
          </w14:textFill>
        </w:rPr>
        <w:t>通过南京市政府投资系统智慧审计平台信息上报平台，完成竣工决算环节数据资料的填报工作。</w:t>
      </w:r>
    </w:p>
    <w:sectPr>
      <w:headerReference r:id="rId3" w:type="default"/>
      <w:footerReference r:id="rId4" w:type="default"/>
      <w:footerReference r:id="rId5" w:type="even"/>
      <w:pgSz w:w="11906" w:h="16838"/>
      <w:pgMar w:top="1528" w:right="1474" w:bottom="1528" w:left="1588" w:header="851" w:footer="992" w:gutter="0"/>
      <w:pgNumType w:fmt="decimal"/>
      <w:cols w:space="425" w:num="1"/>
      <w:docGrid w:type="lines" w:linePitch="5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华文楷体">
    <w:altName w:val="方正楷体_GBK"/>
    <w:panose1 w:val="02010600040101010101"/>
    <w:charset w:val="86"/>
    <w:family w:val="auto"/>
    <w:pitch w:val="default"/>
    <w:sig w:usb0="00000000" w:usb1="00000000" w:usb2="00000010" w:usb3="00000000" w:csb0="000400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楷体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Arial">
    <w:altName w:val="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sz w:val="24"/>
        <w:szCs w:val="24"/>
      </w:rPr>
    </w:pPr>
    <w:r>
      <w:rPr>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2"/>
                      <w:ind w:left="0" w:leftChars="0" w:firstLine="0" w:firstLineChars="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pPr>
      <w:pStyle w:val="6"/>
      <w:ind w:right="360" w:firstLine="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pPr>
      <w:pStyle w:val="6"/>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FiMTc4YzBlMGJlN2NlZjU1ODc5MDE5YTA1Nzk4ODkifQ=="/>
  </w:docVars>
  <w:rsids>
    <w:rsidRoot w:val="005B0C97"/>
    <w:rsid w:val="00002EA1"/>
    <w:rsid w:val="0000303C"/>
    <w:rsid w:val="0000349E"/>
    <w:rsid w:val="00004BAF"/>
    <w:rsid w:val="00014F34"/>
    <w:rsid w:val="00030F0C"/>
    <w:rsid w:val="00031350"/>
    <w:rsid w:val="000329FC"/>
    <w:rsid w:val="0003446E"/>
    <w:rsid w:val="0003663D"/>
    <w:rsid w:val="00060B4C"/>
    <w:rsid w:val="00061392"/>
    <w:rsid w:val="00062E74"/>
    <w:rsid w:val="00065CA7"/>
    <w:rsid w:val="00091260"/>
    <w:rsid w:val="000B3F1E"/>
    <w:rsid w:val="000B4F3C"/>
    <w:rsid w:val="000B517F"/>
    <w:rsid w:val="000B6138"/>
    <w:rsid w:val="000B6157"/>
    <w:rsid w:val="000B6925"/>
    <w:rsid w:val="000F080A"/>
    <w:rsid w:val="000F1150"/>
    <w:rsid w:val="000F3011"/>
    <w:rsid w:val="000F3206"/>
    <w:rsid w:val="000F5AD7"/>
    <w:rsid w:val="000F751D"/>
    <w:rsid w:val="0011477B"/>
    <w:rsid w:val="00116875"/>
    <w:rsid w:val="00120D6A"/>
    <w:rsid w:val="00151F2E"/>
    <w:rsid w:val="00163590"/>
    <w:rsid w:val="00190A46"/>
    <w:rsid w:val="001A0457"/>
    <w:rsid w:val="001D6891"/>
    <w:rsid w:val="001E22E6"/>
    <w:rsid w:val="0020779A"/>
    <w:rsid w:val="0021384F"/>
    <w:rsid w:val="00217139"/>
    <w:rsid w:val="00227066"/>
    <w:rsid w:val="00234828"/>
    <w:rsid w:val="00236F1E"/>
    <w:rsid w:val="002476DD"/>
    <w:rsid w:val="002533DD"/>
    <w:rsid w:val="0026272D"/>
    <w:rsid w:val="00264EDE"/>
    <w:rsid w:val="00277B86"/>
    <w:rsid w:val="00293DFE"/>
    <w:rsid w:val="002B2B2F"/>
    <w:rsid w:val="002B69B5"/>
    <w:rsid w:val="002C22F8"/>
    <w:rsid w:val="002D04C5"/>
    <w:rsid w:val="002E2A65"/>
    <w:rsid w:val="002F4B68"/>
    <w:rsid w:val="002F57C7"/>
    <w:rsid w:val="00307ABA"/>
    <w:rsid w:val="003156E5"/>
    <w:rsid w:val="003352B0"/>
    <w:rsid w:val="00346A2C"/>
    <w:rsid w:val="00353028"/>
    <w:rsid w:val="00354298"/>
    <w:rsid w:val="00365566"/>
    <w:rsid w:val="003730D0"/>
    <w:rsid w:val="0037618B"/>
    <w:rsid w:val="00387FDF"/>
    <w:rsid w:val="0039513F"/>
    <w:rsid w:val="003A181D"/>
    <w:rsid w:val="004152C7"/>
    <w:rsid w:val="00417B3C"/>
    <w:rsid w:val="004269A1"/>
    <w:rsid w:val="00453F5A"/>
    <w:rsid w:val="00457827"/>
    <w:rsid w:val="004667C3"/>
    <w:rsid w:val="00474B05"/>
    <w:rsid w:val="00480D09"/>
    <w:rsid w:val="00497D18"/>
    <w:rsid w:val="004A4147"/>
    <w:rsid w:val="004C49F9"/>
    <w:rsid w:val="004C533C"/>
    <w:rsid w:val="004C7BBD"/>
    <w:rsid w:val="004D1D8C"/>
    <w:rsid w:val="004D5820"/>
    <w:rsid w:val="004E2FF9"/>
    <w:rsid w:val="004F5F8F"/>
    <w:rsid w:val="00500C01"/>
    <w:rsid w:val="005079E4"/>
    <w:rsid w:val="005101B7"/>
    <w:rsid w:val="00513083"/>
    <w:rsid w:val="005278C7"/>
    <w:rsid w:val="0053073A"/>
    <w:rsid w:val="00531D4F"/>
    <w:rsid w:val="005368C3"/>
    <w:rsid w:val="00541FEF"/>
    <w:rsid w:val="00547B2C"/>
    <w:rsid w:val="00551F55"/>
    <w:rsid w:val="00556F83"/>
    <w:rsid w:val="0055711A"/>
    <w:rsid w:val="005602A3"/>
    <w:rsid w:val="00561953"/>
    <w:rsid w:val="005657EB"/>
    <w:rsid w:val="0056622A"/>
    <w:rsid w:val="00580825"/>
    <w:rsid w:val="005A0F83"/>
    <w:rsid w:val="005B0C97"/>
    <w:rsid w:val="005B5372"/>
    <w:rsid w:val="005B6ED5"/>
    <w:rsid w:val="005B7725"/>
    <w:rsid w:val="005C67F7"/>
    <w:rsid w:val="005F6F52"/>
    <w:rsid w:val="006010B2"/>
    <w:rsid w:val="0060553F"/>
    <w:rsid w:val="006078BB"/>
    <w:rsid w:val="006108C0"/>
    <w:rsid w:val="006233AE"/>
    <w:rsid w:val="006273B3"/>
    <w:rsid w:val="006273E4"/>
    <w:rsid w:val="006371C6"/>
    <w:rsid w:val="00637757"/>
    <w:rsid w:val="0064193E"/>
    <w:rsid w:val="00644142"/>
    <w:rsid w:val="006603E0"/>
    <w:rsid w:val="0066416F"/>
    <w:rsid w:val="00677366"/>
    <w:rsid w:val="0067778D"/>
    <w:rsid w:val="00692736"/>
    <w:rsid w:val="006A60E5"/>
    <w:rsid w:val="006B6C7A"/>
    <w:rsid w:val="006E2535"/>
    <w:rsid w:val="00704982"/>
    <w:rsid w:val="007063FC"/>
    <w:rsid w:val="00707D4B"/>
    <w:rsid w:val="00710E20"/>
    <w:rsid w:val="00711FB6"/>
    <w:rsid w:val="007144E1"/>
    <w:rsid w:val="0072072E"/>
    <w:rsid w:val="00722D37"/>
    <w:rsid w:val="007366FF"/>
    <w:rsid w:val="007450CD"/>
    <w:rsid w:val="00746465"/>
    <w:rsid w:val="00753914"/>
    <w:rsid w:val="0075571F"/>
    <w:rsid w:val="00760BFF"/>
    <w:rsid w:val="007634F9"/>
    <w:rsid w:val="00765A93"/>
    <w:rsid w:val="00767523"/>
    <w:rsid w:val="007741FE"/>
    <w:rsid w:val="0077609B"/>
    <w:rsid w:val="007763A3"/>
    <w:rsid w:val="00780FA7"/>
    <w:rsid w:val="00781707"/>
    <w:rsid w:val="007929F8"/>
    <w:rsid w:val="007A41C3"/>
    <w:rsid w:val="007B30FE"/>
    <w:rsid w:val="007D093A"/>
    <w:rsid w:val="007D11F8"/>
    <w:rsid w:val="007D551D"/>
    <w:rsid w:val="00804E46"/>
    <w:rsid w:val="00806D50"/>
    <w:rsid w:val="00820C9F"/>
    <w:rsid w:val="0083582F"/>
    <w:rsid w:val="00850D3A"/>
    <w:rsid w:val="00850D87"/>
    <w:rsid w:val="00853B30"/>
    <w:rsid w:val="00862748"/>
    <w:rsid w:val="008778AC"/>
    <w:rsid w:val="00880449"/>
    <w:rsid w:val="0088374A"/>
    <w:rsid w:val="00885F9D"/>
    <w:rsid w:val="008A0EF9"/>
    <w:rsid w:val="008A5871"/>
    <w:rsid w:val="008C5091"/>
    <w:rsid w:val="008E041A"/>
    <w:rsid w:val="008E3825"/>
    <w:rsid w:val="008F2F95"/>
    <w:rsid w:val="008F5F29"/>
    <w:rsid w:val="00907E33"/>
    <w:rsid w:val="009154C6"/>
    <w:rsid w:val="00940CAE"/>
    <w:rsid w:val="00947A8B"/>
    <w:rsid w:val="009578F8"/>
    <w:rsid w:val="0096300A"/>
    <w:rsid w:val="00972F4B"/>
    <w:rsid w:val="0097650E"/>
    <w:rsid w:val="00993DA1"/>
    <w:rsid w:val="009A0B4F"/>
    <w:rsid w:val="009A59F6"/>
    <w:rsid w:val="009C11BE"/>
    <w:rsid w:val="009C1F97"/>
    <w:rsid w:val="009E2CB2"/>
    <w:rsid w:val="009E356E"/>
    <w:rsid w:val="009F78BF"/>
    <w:rsid w:val="00A06020"/>
    <w:rsid w:val="00A1393B"/>
    <w:rsid w:val="00A15CF5"/>
    <w:rsid w:val="00A16FCC"/>
    <w:rsid w:val="00A21754"/>
    <w:rsid w:val="00A2216A"/>
    <w:rsid w:val="00A279C9"/>
    <w:rsid w:val="00A316E6"/>
    <w:rsid w:val="00A31D87"/>
    <w:rsid w:val="00A32845"/>
    <w:rsid w:val="00A364D3"/>
    <w:rsid w:val="00A36B6B"/>
    <w:rsid w:val="00A378CC"/>
    <w:rsid w:val="00A400D0"/>
    <w:rsid w:val="00A44C68"/>
    <w:rsid w:val="00A477F7"/>
    <w:rsid w:val="00A50C2C"/>
    <w:rsid w:val="00A53922"/>
    <w:rsid w:val="00A5528E"/>
    <w:rsid w:val="00A57DD7"/>
    <w:rsid w:val="00A61C70"/>
    <w:rsid w:val="00A638B4"/>
    <w:rsid w:val="00A64259"/>
    <w:rsid w:val="00A67AC4"/>
    <w:rsid w:val="00A84F4C"/>
    <w:rsid w:val="00A8570D"/>
    <w:rsid w:val="00AA2EBC"/>
    <w:rsid w:val="00AB5F58"/>
    <w:rsid w:val="00AB72EE"/>
    <w:rsid w:val="00AC7C54"/>
    <w:rsid w:val="00AD288A"/>
    <w:rsid w:val="00AD43D9"/>
    <w:rsid w:val="00AD6632"/>
    <w:rsid w:val="00AD7B27"/>
    <w:rsid w:val="00AE350D"/>
    <w:rsid w:val="00AE4879"/>
    <w:rsid w:val="00AE718C"/>
    <w:rsid w:val="00B10E3C"/>
    <w:rsid w:val="00B20F8C"/>
    <w:rsid w:val="00B22195"/>
    <w:rsid w:val="00B3768C"/>
    <w:rsid w:val="00B6143A"/>
    <w:rsid w:val="00B72F93"/>
    <w:rsid w:val="00B736C3"/>
    <w:rsid w:val="00B82A55"/>
    <w:rsid w:val="00B91D25"/>
    <w:rsid w:val="00BA764F"/>
    <w:rsid w:val="00BC559C"/>
    <w:rsid w:val="00BE6B3A"/>
    <w:rsid w:val="00BF1D75"/>
    <w:rsid w:val="00BF3294"/>
    <w:rsid w:val="00C12B47"/>
    <w:rsid w:val="00C17157"/>
    <w:rsid w:val="00C232F2"/>
    <w:rsid w:val="00C3421F"/>
    <w:rsid w:val="00C36F16"/>
    <w:rsid w:val="00C37A8A"/>
    <w:rsid w:val="00C52B09"/>
    <w:rsid w:val="00C57312"/>
    <w:rsid w:val="00C629DE"/>
    <w:rsid w:val="00C6496C"/>
    <w:rsid w:val="00C70FE8"/>
    <w:rsid w:val="00C76DAB"/>
    <w:rsid w:val="00C80959"/>
    <w:rsid w:val="00C80F85"/>
    <w:rsid w:val="00C97F30"/>
    <w:rsid w:val="00CA5F06"/>
    <w:rsid w:val="00CB1400"/>
    <w:rsid w:val="00CC00FE"/>
    <w:rsid w:val="00CD7821"/>
    <w:rsid w:val="00CF2B33"/>
    <w:rsid w:val="00D001D0"/>
    <w:rsid w:val="00D0285B"/>
    <w:rsid w:val="00D10C51"/>
    <w:rsid w:val="00D11EE2"/>
    <w:rsid w:val="00D13747"/>
    <w:rsid w:val="00D14766"/>
    <w:rsid w:val="00D1588B"/>
    <w:rsid w:val="00D2323E"/>
    <w:rsid w:val="00D24F1E"/>
    <w:rsid w:val="00D25061"/>
    <w:rsid w:val="00D256BE"/>
    <w:rsid w:val="00D461AC"/>
    <w:rsid w:val="00D512A4"/>
    <w:rsid w:val="00D567EC"/>
    <w:rsid w:val="00D6182E"/>
    <w:rsid w:val="00D62552"/>
    <w:rsid w:val="00D67CD0"/>
    <w:rsid w:val="00DA4A98"/>
    <w:rsid w:val="00DA4FD7"/>
    <w:rsid w:val="00DB2BD7"/>
    <w:rsid w:val="00DB3587"/>
    <w:rsid w:val="00DC6D67"/>
    <w:rsid w:val="00DD28B1"/>
    <w:rsid w:val="00DD59EE"/>
    <w:rsid w:val="00E01355"/>
    <w:rsid w:val="00E03014"/>
    <w:rsid w:val="00E13493"/>
    <w:rsid w:val="00E27968"/>
    <w:rsid w:val="00E32BCF"/>
    <w:rsid w:val="00E33C9F"/>
    <w:rsid w:val="00E4465B"/>
    <w:rsid w:val="00E459C2"/>
    <w:rsid w:val="00E50047"/>
    <w:rsid w:val="00E7357E"/>
    <w:rsid w:val="00E80E78"/>
    <w:rsid w:val="00E85858"/>
    <w:rsid w:val="00E96CCA"/>
    <w:rsid w:val="00EA2C14"/>
    <w:rsid w:val="00EB044B"/>
    <w:rsid w:val="00EB04EF"/>
    <w:rsid w:val="00EB1268"/>
    <w:rsid w:val="00EC3DFB"/>
    <w:rsid w:val="00ED303B"/>
    <w:rsid w:val="00ED51D9"/>
    <w:rsid w:val="00EE26CD"/>
    <w:rsid w:val="00EE4573"/>
    <w:rsid w:val="00EF4948"/>
    <w:rsid w:val="00F019C6"/>
    <w:rsid w:val="00F01FFB"/>
    <w:rsid w:val="00F02AB7"/>
    <w:rsid w:val="00F04079"/>
    <w:rsid w:val="00F068DC"/>
    <w:rsid w:val="00F16B02"/>
    <w:rsid w:val="00F44DA3"/>
    <w:rsid w:val="00F567A6"/>
    <w:rsid w:val="00F6356F"/>
    <w:rsid w:val="00F76AA9"/>
    <w:rsid w:val="00F7701A"/>
    <w:rsid w:val="00F81BE4"/>
    <w:rsid w:val="00F84747"/>
    <w:rsid w:val="00FC1224"/>
    <w:rsid w:val="00FC1DC9"/>
    <w:rsid w:val="00FE0578"/>
    <w:rsid w:val="00FE4A0A"/>
    <w:rsid w:val="00FF2E61"/>
    <w:rsid w:val="01AF1E59"/>
    <w:rsid w:val="02186EB3"/>
    <w:rsid w:val="02357C70"/>
    <w:rsid w:val="02555ED9"/>
    <w:rsid w:val="029D45D5"/>
    <w:rsid w:val="045529A5"/>
    <w:rsid w:val="06395024"/>
    <w:rsid w:val="083C511A"/>
    <w:rsid w:val="0A9D6B1C"/>
    <w:rsid w:val="0ECF0077"/>
    <w:rsid w:val="0F4C4471"/>
    <w:rsid w:val="10D81BB4"/>
    <w:rsid w:val="11697704"/>
    <w:rsid w:val="132C233E"/>
    <w:rsid w:val="13472005"/>
    <w:rsid w:val="14C131FC"/>
    <w:rsid w:val="16FE76D0"/>
    <w:rsid w:val="177D0A70"/>
    <w:rsid w:val="17B217D1"/>
    <w:rsid w:val="17F69AAF"/>
    <w:rsid w:val="18307D6A"/>
    <w:rsid w:val="192B17DE"/>
    <w:rsid w:val="19792055"/>
    <w:rsid w:val="19952FDA"/>
    <w:rsid w:val="19FF3114"/>
    <w:rsid w:val="1C7B7E93"/>
    <w:rsid w:val="1C8E0291"/>
    <w:rsid w:val="1D843C18"/>
    <w:rsid w:val="1E311151"/>
    <w:rsid w:val="1F340720"/>
    <w:rsid w:val="1FEF9FF2"/>
    <w:rsid w:val="22E613F3"/>
    <w:rsid w:val="24140588"/>
    <w:rsid w:val="249B43A9"/>
    <w:rsid w:val="251D1561"/>
    <w:rsid w:val="28B22E8E"/>
    <w:rsid w:val="28D00E52"/>
    <w:rsid w:val="292860AC"/>
    <w:rsid w:val="297F2F87"/>
    <w:rsid w:val="2ABE48AD"/>
    <w:rsid w:val="2B0042DA"/>
    <w:rsid w:val="2B6366C1"/>
    <w:rsid w:val="2CDD4252"/>
    <w:rsid w:val="2EA15E7F"/>
    <w:rsid w:val="2FEF1905"/>
    <w:rsid w:val="32A0644D"/>
    <w:rsid w:val="32CE7827"/>
    <w:rsid w:val="37DF8B85"/>
    <w:rsid w:val="3A747FD4"/>
    <w:rsid w:val="3DEDAF6E"/>
    <w:rsid w:val="3E1A797E"/>
    <w:rsid w:val="3EA82911"/>
    <w:rsid w:val="3FBEC8E9"/>
    <w:rsid w:val="3FEE0ADC"/>
    <w:rsid w:val="3FF79E2F"/>
    <w:rsid w:val="411846AD"/>
    <w:rsid w:val="411E510D"/>
    <w:rsid w:val="447338FD"/>
    <w:rsid w:val="487274BC"/>
    <w:rsid w:val="49FA154A"/>
    <w:rsid w:val="4A9E3160"/>
    <w:rsid w:val="4AF35B71"/>
    <w:rsid w:val="4E49427D"/>
    <w:rsid w:val="4FEB772F"/>
    <w:rsid w:val="505226DD"/>
    <w:rsid w:val="50CA4219"/>
    <w:rsid w:val="511D2C8F"/>
    <w:rsid w:val="51D72EE6"/>
    <w:rsid w:val="523911F2"/>
    <w:rsid w:val="57327825"/>
    <w:rsid w:val="578C7D30"/>
    <w:rsid w:val="57C75B73"/>
    <w:rsid w:val="57FB663D"/>
    <w:rsid w:val="57FE5581"/>
    <w:rsid w:val="5ABA5D01"/>
    <w:rsid w:val="5BE30248"/>
    <w:rsid w:val="5E305451"/>
    <w:rsid w:val="5F942D09"/>
    <w:rsid w:val="602F2A3B"/>
    <w:rsid w:val="606721D5"/>
    <w:rsid w:val="607D3D94"/>
    <w:rsid w:val="60DC33B0"/>
    <w:rsid w:val="64551B80"/>
    <w:rsid w:val="65B62A4F"/>
    <w:rsid w:val="66515C95"/>
    <w:rsid w:val="66547382"/>
    <w:rsid w:val="695D089B"/>
    <w:rsid w:val="69BDA57D"/>
    <w:rsid w:val="6A36535E"/>
    <w:rsid w:val="6C027255"/>
    <w:rsid w:val="6D002FBE"/>
    <w:rsid w:val="6D47333A"/>
    <w:rsid w:val="6FBBD323"/>
    <w:rsid w:val="6FDB5F87"/>
    <w:rsid w:val="715039E7"/>
    <w:rsid w:val="72C40DC1"/>
    <w:rsid w:val="75FEB1E1"/>
    <w:rsid w:val="766E77F2"/>
    <w:rsid w:val="76F27340"/>
    <w:rsid w:val="779F9CE8"/>
    <w:rsid w:val="77D9EC4D"/>
    <w:rsid w:val="77FE5F9C"/>
    <w:rsid w:val="7A4D62CD"/>
    <w:rsid w:val="7AF728B3"/>
    <w:rsid w:val="7BF784A6"/>
    <w:rsid w:val="7DD69998"/>
    <w:rsid w:val="7ECF6AE1"/>
    <w:rsid w:val="7F7EBC4B"/>
    <w:rsid w:val="7F93F9DC"/>
    <w:rsid w:val="7FA7746A"/>
    <w:rsid w:val="7FC89FAD"/>
    <w:rsid w:val="7FCD7668"/>
    <w:rsid w:val="7FDDEB11"/>
    <w:rsid w:val="7FF75685"/>
    <w:rsid w:val="9FFF13CD"/>
    <w:rsid w:val="A3FF1015"/>
    <w:rsid w:val="AFBF5A0E"/>
    <w:rsid w:val="B967C023"/>
    <w:rsid w:val="BF7F11DD"/>
    <w:rsid w:val="D67D71A5"/>
    <w:rsid w:val="DDDF24A0"/>
    <w:rsid w:val="DDEF85BE"/>
    <w:rsid w:val="DFF9FB86"/>
    <w:rsid w:val="E7E75126"/>
    <w:rsid w:val="EECFCAAC"/>
    <w:rsid w:val="F77E5F01"/>
    <w:rsid w:val="F7C7A846"/>
    <w:rsid w:val="FABF5268"/>
    <w:rsid w:val="FB536D68"/>
    <w:rsid w:val="FDA42CC4"/>
    <w:rsid w:val="FDF59B66"/>
    <w:rsid w:val="FFD71450"/>
    <w:rsid w:val="FFDF4B88"/>
    <w:rsid w:val="FFFBDA3B"/>
    <w:rsid w:val="FFFF14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52"/>
      <w:jc w:val="both"/>
    </w:pPr>
    <w:rPr>
      <w:rFonts w:ascii="仿宋_GB2312" w:hAnsi="Times New Roman" w:eastAsia="仿宋_GB2312" w:cs="Times New Roman"/>
      <w:kern w:val="2"/>
      <w:sz w:val="3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next w:val="3"/>
    <w:qFormat/>
    <w:uiPriority w:val="0"/>
    <w:pPr>
      <w:adjustRightInd w:val="0"/>
      <w:spacing w:line="420" w:lineRule="atLeast"/>
      <w:jc w:val="left"/>
      <w:textAlignment w:val="baseline"/>
    </w:pPr>
    <w:rPr>
      <w:kern w:val="0"/>
    </w:rPr>
  </w:style>
  <w:style w:type="paragraph" w:styleId="3">
    <w:name w:val="Body Text"/>
    <w:basedOn w:val="1"/>
    <w:next w:val="1"/>
    <w:link w:val="20"/>
    <w:qFormat/>
    <w:uiPriority w:val="0"/>
    <w:rPr>
      <w:sz w:val="18"/>
    </w:rPr>
  </w:style>
  <w:style w:type="paragraph" w:styleId="4">
    <w:name w:val="Date"/>
    <w:basedOn w:val="1"/>
    <w:next w:val="1"/>
    <w:link w:val="22"/>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ind w:firstLine="0"/>
      <w:jc w:val="left"/>
    </w:pPr>
    <w:rPr>
      <w:rFonts w:asciiTheme="minorHAnsi" w:hAnsiTheme="minorHAnsi" w:eastAsiaTheme="minorEastAsia" w:cstheme="minorBidi"/>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ind w:firstLine="0"/>
      <w:jc w:val="center"/>
    </w:pPr>
    <w:rPr>
      <w:rFonts w:asciiTheme="minorHAnsi" w:hAnsiTheme="minorHAnsi" w:eastAsiaTheme="minorEastAsia" w:cstheme="minorBidi"/>
      <w:sz w:val="18"/>
      <w:szCs w:val="18"/>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9">
    <w:name w:val="Normal (Web)"/>
    <w:basedOn w:val="1"/>
    <w:semiHidden/>
    <w:unhideWhenUsed/>
    <w:qFormat/>
    <w:uiPriority w:val="99"/>
    <w:pPr>
      <w:widowControl/>
      <w:spacing w:before="100" w:beforeAutospacing="1" w:after="100" w:afterAutospacing="1"/>
      <w:ind w:firstLine="0"/>
      <w:jc w:val="left"/>
    </w:pPr>
    <w:rPr>
      <w:rFonts w:ascii="宋体" w:hAnsi="宋体" w:eastAsia="宋体" w:cs="宋体"/>
      <w:kern w:val="0"/>
      <w:sz w:val="24"/>
      <w:szCs w:val="24"/>
    </w:rPr>
  </w:style>
  <w:style w:type="table" w:styleId="11">
    <w:name w:val="Table Grid"/>
    <w:basedOn w:val="10"/>
    <w:qFormat/>
    <w:uiPriority w:val="39"/>
    <w:rPr>
      <w:bCs/>
      <w:color w:val="000000"/>
      <w:sz w:val="32"/>
      <w:szCs w:val="3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FollowedHyperlink"/>
    <w:basedOn w:val="12"/>
    <w:semiHidden/>
    <w:unhideWhenUsed/>
    <w:qFormat/>
    <w:uiPriority w:val="99"/>
    <w:rPr>
      <w:color w:val="800080"/>
      <w:u w:val="none"/>
    </w:rPr>
  </w:style>
  <w:style w:type="character" w:styleId="15">
    <w:name w:val="Hyperlink"/>
    <w:basedOn w:val="12"/>
    <w:semiHidden/>
    <w:unhideWhenUsed/>
    <w:qFormat/>
    <w:uiPriority w:val="99"/>
    <w:rPr>
      <w:color w:val="0000FF"/>
      <w:u w:val="none"/>
    </w:rPr>
  </w:style>
  <w:style w:type="character" w:customStyle="1" w:styleId="16">
    <w:name w:val="页眉 Char"/>
    <w:basedOn w:val="12"/>
    <w:link w:val="7"/>
    <w:qFormat/>
    <w:uiPriority w:val="99"/>
    <w:rPr>
      <w:sz w:val="18"/>
      <w:szCs w:val="18"/>
    </w:rPr>
  </w:style>
  <w:style w:type="character" w:customStyle="1" w:styleId="17">
    <w:name w:val="页脚 Char"/>
    <w:basedOn w:val="12"/>
    <w:link w:val="6"/>
    <w:qFormat/>
    <w:uiPriority w:val="99"/>
    <w:rPr>
      <w:sz w:val="18"/>
      <w:szCs w:val="18"/>
    </w:rPr>
  </w:style>
  <w:style w:type="paragraph" w:customStyle="1" w:styleId="18">
    <w:name w:val="红线"/>
    <w:basedOn w:val="1"/>
    <w:qFormat/>
    <w:uiPriority w:val="0"/>
    <w:pPr>
      <w:spacing w:line="160" w:lineRule="exact"/>
      <w:ind w:firstLine="0"/>
    </w:pPr>
  </w:style>
  <w:style w:type="character" w:customStyle="1" w:styleId="19">
    <w:name w:val="批注框文本 Char"/>
    <w:basedOn w:val="12"/>
    <w:link w:val="5"/>
    <w:semiHidden/>
    <w:qFormat/>
    <w:uiPriority w:val="99"/>
    <w:rPr>
      <w:rFonts w:ascii="仿宋_GB2312" w:eastAsia="仿宋_GB2312"/>
      <w:kern w:val="2"/>
      <w:sz w:val="18"/>
      <w:szCs w:val="18"/>
    </w:rPr>
  </w:style>
  <w:style w:type="character" w:customStyle="1" w:styleId="20">
    <w:name w:val="正文文本 Char"/>
    <w:basedOn w:val="12"/>
    <w:link w:val="3"/>
    <w:qFormat/>
    <w:uiPriority w:val="0"/>
    <w:rPr>
      <w:rFonts w:ascii="仿宋_GB2312" w:eastAsia="仿宋_GB2312"/>
      <w:kern w:val="2"/>
      <w:sz w:val="18"/>
    </w:rPr>
  </w:style>
  <w:style w:type="paragraph" w:styleId="21">
    <w:name w:val="List Paragraph"/>
    <w:basedOn w:val="1"/>
    <w:qFormat/>
    <w:uiPriority w:val="99"/>
    <w:pPr>
      <w:ind w:firstLine="420" w:firstLineChars="200"/>
    </w:pPr>
  </w:style>
  <w:style w:type="character" w:customStyle="1" w:styleId="22">
    <w:name w:val="日期 Char"/>
    <w:basedOn w:val="12"/>
    <w:link w:val="4"/>
    <w:semiHidden/>
    <w:qFormat/>
    <w:uiPriority w:val="99"/>
    <w:rPr>
      <w:rFonts w:ascii="仿宋_GB2312" w:eastAsia="仿宋_GB2312"/>
      <w:kern w:val="2"/>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181</Words>
  <Characters>1035</Characters>
  <Lines>8</Lines>
  <Paragraphs>2</Paragraphs>
  <TotalTime>5</TotalTime>
  <ScaleCrop>false</ScaleCrop>
  <LinksUpToDate>false</LinksUpToDate>
  <CharactersWithSpaces>1214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2025-11-02T16:45:00Z</dcterms:created>
  <dc:creator>王晖</dc:creator>
  <cp:lastModifiedBy>casic</cp:lastModifiedBy>
  <cp:lastPrinted>2025-09-26T23:34:00Z</cp:lastPrinted>
  <dcterms:modified xsi:type="dcterms:W3CDTF">2026-10-13T17:48:43Z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0FC9883126FA47AF81B6433C789B299A_13</vt:lpwstr>
  </property>
  <property fmtid="{D5CDD505-2E9C-101B-9397-08002B2CF9AE}" pid="4" name="KSOTemplateDocerSaveRecord">
    <vt:lpwstr>eyJoZGlkIjoiNjY1ODIyMzRlMTc0YWY4YmUxZWMzZWIxNDZjZTFhNDkifQ==</vt:lpwstr>
  </property>
</Properties>
</file>