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rPr>
          <w:rFonts w:ascii="Times New Roman" w:eastAsia="方正黑体_GBK"/>
          <w:color w:val="000000" w:themeColor="text1"/>
          <w:szCs w:val="32"/>
          <w14:textFill>
            <w14:solidFill>
              <w14:schemeClr w14:val="tx1"/>
            </w14:solidFill>
          </w14:textFill>
        </w:rPr>
      </w:pPr>
      <w:r>
        <w:rPr>
          <w:rFonts w:ascii="Times New Roman" w:eastAsia="方正黑体_GBK"/>
          <w:color w:val="000000" w:themeColor="text1"/>
          <w:szCs w:val="32"/>
          <w14:textFill>
            <w14:solidFill>
              <w14:schemeClr w14:val="tx1"/>
            </w14:solidFill>
          </w14:textFill>
        </w:rPr>
        <w:t>附件3</w:t>
      </w:r>
    </w:p>
    <w:p>
      <w:pPr>
        <w:spacing w:line="560" w:lineRule="exact"/>
        <w:ind w:firstLine="880" w:firstLineChars="200"/>
        <w:jc w:val="center"/>
        <w:rPr>
          <w:rFonts w:ascii="Times New Roman" w:eastAsia="方正小标宋_GBK"/>
          <w:color w:val="000000" w:themeColor="text1"/>
          <w:sz w:val="44"/>
          <w:szCs w:val="44"/>
          <w14:textFill>
            <w14:solidFill>
              <w14:schemeClr w14:val="tx1"/>
            </w14:solidFill>
          </w14:textFill>
        </w:rPr>
      </w:pPr>
      <w:r>
        <w:rPr>
          <w:rFonts w:ascii="Times New Roman" w:eastAsia="方正小标宋_GBK"/>
          <w:color w:val="000000" w:themeColor="text1"/>
          <w:sz w:val="44"/>
          <w:szCs w:val="44"/>
          <w14:textFill>
            <w14:solidFill>
              <w14:schemeClr w14:val="tx1"/>
            </w14:solidFill>
          </w14:textFill>
        </w:rPr>
        <w:t>预警处置操作流程</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黑体_GBK"/>
          <w:color w:val="000000" w:themeColor="text1"/>
          <w:szCs w:val="32"/>
          <w14:textFill>
            <w14:solidFill>
              <w14:schemeClr w14:val="tx1"/>
            </w14:solidFill>
          </w14:textFill>
        </w:rPr>
      </w:pPr>
      <w:r>
        <w:rPr>
          <w:rFonts w:ascii="Times New Roman" w:eastAsia="方正黑体_GBK"/>
          <w:color w:val="000000" w:themeColor="text1"/>
          <w:szCs w:val="32"/>
          <w14:textFill>
            <w14:solidFill>
              <w14:schemeClr w14:val="tx1"/>
            </w14:solidFill>
          </w14:textFill>
        </w:rPr>
        <w:t xml:space="preserve"> 一、预警受理​</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Times New Roman" w:eastAsia="方正仿宋_GBK"/>
          <w:strike w:val="0"/>
          <w:dstrike w:val="0"/>
          <w:color w:val="auto"/>
          <w:szCs w:val="32"/>
        </w:rPr>
      </w:pPr>
      <w:r>
        <w:rPr>
          <w:rFonts w:hint="eastAsia" w:ascii="Times New Roman" w:eastAsia="方正仿宋_GBK"/>
          <w:strike w:val="0"/>
          <w:dstrike w:val="0"/>
          <w:color w:val="auto"/>
          <w:szCs w:val="32"/>
        </w:rPr>
        <w:t>市本级项目预警：立项审批、概算环节预警，由立项批复部门承担受理工作；招标投标、合同签订、施工许可、合同履约、竣工验收环节预警，由行业主管部门承担受理工作；竣工决算环节预警，由决算管理部门承担受理工作。</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strike w:val="0"/>
          <w:dstrike w:val="0"/>
          <w:color w:val="auto"/>
          <w:szCs w:val="32"/>
        </w:rPr>
      </w:pPr>
      <w:r>
        <w:rPr>
          <w:rFonts w:hint="eastAsia" w:ascii="Times New Roman" w:eastAsia="方正仿宋_GBK"/>
          <w:strike w:val="0"/>
          <w:dstrike w:val="0"/>
          <w:color w:val="auto"/>
          <w:szCs w:val="32"/>
        </w:rPr>
        <w:t>区及功能板块项目预警：区及功能板块各</w:t>
      </w:r>
      <w:r>
        <w:rPr>
          <w:rFonts w:hint="eastAsia" w:ascii="Times New Roman" w:eastAsia="方正仿宋_GBK"/>
          <w:strike w:val="0"/>
          <w:dstrike w:val="0"/>
          <w:color w:val="auto"/>
          <w:szCs w:val="32"/>
          <w:lang w:eastAsia="zh-CN"/>
        </w:rPr>
        <w:t>行业</w:t>
      </w:r>
      <w:bookmarkStart w:id="0" w:name="_GoBack"/>
      <w:bookmarkEnd w:id="0"/>
      <w:r>
        <w:rPr>
          <w:rFonts w:hint="eastAsia" w:ascii="Times New Roman" w:eastAsia="方正仿宋_GBK"/>
          <w:strike w:val="0"/>
          <w:dstrike w:val="0"/>
          <w:color w:val="auto"/>
          <w:szCs w:val="32"/>
        </w:rPr>
        <w:t>领域可明确预警信息的扎口受理部门，统一负责本辖区预警信息的受理、分配等，也可由市级行业主管部门明确预警信息受理及分配方式。</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strike/>
          <w:dstrike w:val="0"/>
          <w:color w:val="FF0000"/>
          <w:szCs w:val="32"/>
        </w:rPr>
      </w:pPr>
      <w:r>
        <w:rPr>
          <w:rFonts w:ascii="Times New Roman" w:eastAsia="方正仿宋_GBK"/>
          <w:strike w:val="0"/>
          <w:dstrike w:val="0"/>
          <w:color w:val="auto"/>
          <w:szCs w:val="32"/>
        </w:rPr>
        <w:t>受理人员确定：市、区及各功能板块立项批复部门、决算管理部门</w:t>
      </w:r>
      <w:r>
        <w:rPr>
          <w:rFonts w:hint="eastAsia" w:ascii="Times New Roman" w:eastAsia="方正仿宋_GBK"/>
          <w:strike w:val="0"/>
          <w:dstrike w:val="0"/>
          <w:color w:val="auto"/>
          <w:szCs w:val="32"/>
          <w:lang w:eastAsia="zh-CN"/>
        </w:rPr>
        <w:t>及相关行业主管部门</w:t>
      </w:r>
      <w:r>
        <w:rPr>
          <w:rFonts w:ascii="Times New Roman" w:eastAsia="方正仿宋_GBK"/>
          <w:strike w:val="0"/>
          <w:dstrike w:val="0"/>
          <w:color w:val="auto"/>
          <w:szCs w:val="32"/>
        </w:rPr>
        <w:t>需分别确定专门的预警受理人员，统一负责本部门职责范围内预警信息的接收与初步登记工作，确保预警受理无遗漏、无延迟。​</w:t>
      </w:r>
    </w:p>
    <w:p>
      <w:pPr>
        <w:spacing w:line="560" w:lineRule="exact"/>
        <w:ind w:firstLine="640" w:firstLineChars="200"/>
        <w:rPr>
          <w:rFonts w:ascii="Times New Roman" w:eastAsia="方正黑体_GBK"/>
          <w:color w:val="000000" w:themeColor="text1"/>
          <w:szCs w:val="32"/>
          <w14:textFill>
            <w14:solidFill>
              <w14:schemeClr w14:val="tx1"/>
            </w14:solidFill>
          </w14:textFill>
        </w:rPr>
      </w:pPr>
      <w:r>
        <w:rPr>
          <w:rFonts w:ascii="Times New Roman" w:eastAsia="方正黑体_GBK"/>
          <w:color w:val="000000" w:themeColor="text1"/>
          <w:szCs w:val="32"/>
          <w14:textFill>
            <w14:solidFill>
              <w14:schemeClr w14:val="tx1"/>
            </w14:solidFill>
          </w14:textFill>
        </w:rPr>
        <w:t>二、预警分配​</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为高效推进预警处置工作，明确受理部门的预警分配权限与办理要求，具体机制如下：​</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分配权限：受理部门在收到预警信息后，根据预警内容与部门职责，可选择以下两种分配方式：</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分配给本部门内部的预警办理人员，由其负责具体处置工作；依据预警涉及的实际项目环节，跨部门分配给其他相关责任部门进行处置。​</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多部门协同处置：对于涉及多个业务环节或责任主体的复杂预警信息，受理部门可将其同时分配给多个相关部门，各部门需协同配合开展处置工作，确保预警问题全面解决。</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办理结果填写：各处置部门及办理人员在完成预警处置工作后，需在阳光招投标综合监管平台中如实、详细填写办理结果，包括处置措施、处置过程、处置结论等关键信息，确保处置流程可追溯。​</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办理人员全覆盖：项目全链条所涉及的所有部门，均需提前确定专门的预警办理人员，明确其岗位职责与工作流程，保障预警信息分配后能快速对接、及时处置。​</w:t>
      </w:r>
    </w:p>
    <w:p>
      <w:pPr>
        <w:spacing w:line="560" w:lineRule="exact"/>
        <w:ind w:firstLine="640" w:firstLineChars="200"/>
        <w:rPr>
          <w:rFonts w:ascii="Times New Roman" w:eastAsia="方正黑体_GBK"/>
          <w:color w:val="000000" w:themeColor="text1"/>
          <w:szCs w:val="32"/>
          <w14:textFill>
            <w14:solidFill>
              <w14:schemeClr w14:val="tx1"/>
            </w14:solidFill>
          </w14:textFill>
        </w:rPr>
      </w:pPr>
      <w:r>
        <w:rPr>
          <w:rFonts w:ascii="Times New Roman" w:eastAsia="方正黑体_GBK"/>
          <w:color w:val="000000" w:themeColor="text1"/>
          <w:szCs w:val="32"/>
          <w14:textFill>
            <w14:solidFill>
              <w14:schemeClr w14:val="tx1"/>
            </w14:solidFill>
          </w14:textFill>
        </w:rPr>
        <w:t>三、预警退回与再分配流程​</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为保障预警信息始终由正确的责任主体处置，规范预警退回操作与再分配机制，具体流程如下：​</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系统自动推送与初步受理：阳光招投标综合监管平台将根据本办法第一条规定的预警受理规则，自动将预警信息推送至对应部门的受理人员账户。​</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受理人员退回：受理人员在接收系统推送的预警信息后，经审核发现该预警不属于本级部门或本部门受理范围的，可在平台中操作 “退转部门”，由系统根据预警受理规则重新匹配并分配给正确的受理部门及受理人员。​</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办理人员退回：办理人员在接收分配的预警信息后，若发现该预警不属于本部门或本人处置范围，可将预警信息退回至原分配的受理人员，同时需在平台中说明退回理由。​</w:t>
      </w:r>
    </w:p>
    <w:p>
      <w:pPr>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无限制再分配：预警信息经退回后，受理人员需重新对其进行审核与分配；若再分配后的受理部门或办理人员仍认为不属于自身职责范围，可再次按上述流程退回并申请重新分配，本办法对预警退回与再分配次数不做业务限制，直至预警信息分配至正确的处置主体。​</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color w:val="auto"/>
          <w:szCs w:val="32"/>
          <w:highlight w:val="none"/>
        </w:rPr>
      </w:pPr>
      <w:r>
        <w:rPr>
          <w:rFonts w:hint="eastAsia" w:ascii="方正黑体_GBK" w:hAnsi="方正黑体_GBK" w:eastAsia="方正黑体_GBK" w:cs="方正黑体_GBK"/>
          <w:color w:val="auto"/>
          <w:szCs w:val="32"/>
          <w:highlight w:val="none"/>
        </w:rPr>
        <w:t>预警争议协调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eastAsia="方正仿宋_GBK"/>
          <w:color w:val="auto"/>
          <w:szCs w:val="32"/>
          <w:highlight w:val="none"/>
        </w:rPr>
      </w:pPr>
      <w:r>
        <w:rPr>
          <w:rFonts w:hint="eastAsia" w:ascii="Times New Roman" w:eastAsia="方正仿宋_GBK"/>
          <w:color w:val="auto"/>
          <w:szCs w:val="32"/>
          <w:highlight w:val="none"/>
        </w:rPr>
        <w:t>市级跨部门预警争议协调：市级各部门之间因预警信息处置发生职责争议的，由市</w:t>
      </w:r>
      <w:r>
        <w:rPr>
          <w:rFonts w:hint="eastAsia" w:ascii="Times New Roman" w:eastAsia="方正仿宋_GBK"/>
          <w:color w:val="auto"/>
          <w:szCs w:val="32"/>
          <w:highlight w:val="none"/>
          <w:lang w:eastAsia="zh-CN"/>
        </w:rPr>
        <w:t>发展改革</w:t>
      </w:r>
      <w:r>
        <w:rPr>
          <w:rFonts w:hint="eastAsia" w:ascii="Times New Roman" w:eastAsia="方正仿宋_GBK"/>
          <w:color w:val="auto"/>
          <w:szCs w:val="32"/>
          <w:highlight w:val="none"/>
        </w:rPr>
        <w:t>部门负责统筹协调。</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eastAsia="方正仿宋_GBK"/>
          <w:color w:val="auto"/>
          <w:szCs w:val="32"/>
          <w:highlight w:val="none"/>
        </w:rPr>
      </w:pPr>
      <w:r>
        <w:rPr>
          <w:rFonts w:hint="eastAsia" w:ascii="Times New Roman" w:eastAsia="方正仿宋_GBK"/>
          <w:color w:val="auto"/>
          <w:szCs w:val="32"/>
          <w:highlight w:val="none"/>
        </w:rPr>
        <w:t>同领域市区争议协调：同一行业领域内，市、区及功能板块两级之间因预警信息处置发生职责争议的，由市级行业主管部门负责统筹协调。</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方正仿宋_GBK"/>
          <w:color w:val="auto"/>
          <w:szCs w:val="32"/>
          <w:highlight w:val="none"/>
        </w:rPr>
      </w:pPr>
      <w:r>
        <w:rPr>
          <w:rFonts w:hint="eastAsia" w:ascii="Times New Roman" w:eastAsia="方正仿宋_GBK"/>
          <w:color w:val="auto"/>
          <w:szCs w:val="32"/>
          <w:highlight w:val="none"/>
        </w:rPr>
        <w:t>区级跨部门预警争议协调：各区及功能板块内，不同行业主管部门之间因预警信息处置发生职责争议的，由各区及功能板块</w:t>
      </w:r>
      <w:r>
        <w:rPr>
          <w:rFonts w:hint="eastAsia" w:ascii="Times New Roman" w:eastAsia="方正仿宋_GBK"/>
          <w:color w:val="auto"/>
          <w:szCs w:val="32"/>
          <w:highlight w:val="none"/>
          <w:lang w:eastAsia="zh-CN"/>
        </w:rPr>
        <w:t>发展改革</w:t>
      </w:r>
      <w:r>
        <w:rPr>
          <w:rFonts w:hint="eastAsia" w:ascii="Times New Roman" w:eastAsia="方正仿宋_GBK"/>
          <w:color w:val="auto"/>
          <w:szCs w:val="32"/>
          <w:highlight w:val="none"/>
        </w:rPr>
        <w:t>部门负责统筹协调。</w:t>
      </w:r>
    </w:p>
    <w:sectPr>
      <w:headerReference r:id="rId3" w:type="default"/>
      <w:footerReference r:id="rId4" w:type="default"/>
      <w:footerReference r:id="rId5" w:type="even"/>
      <w:pgSz w:w="11906" w:h="16838"/>
      <w:pgMar w:top="1528" w:right="1474" w:bottom="1528" w:left="1588" w:header="851" w:footer="992" w:gutter="0"/>
      <w:pgNumType w:fmt="decimal"/>
      <w:cols w:space="425" w:num="1"/>
      <w:docGrid w:type="lines" w:linePitch="51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1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DejaVu Math TeX Gyre">
    <w:panose1 w:val="02000503000000000000"/>
    <w:charset w:val="00"/>
    <w:family w:val="auto"/>
    <w:pitch w:val="default"/>
    <w:sig w:usb0="A10000EF" w:usb1="4201F9EE" w:usb2="02000000" w:usb3="00000000" w:csb0="60000193" w:csb1="0DD40000"/>
  </w:font>
  <w:font w:name="Arial">
    <w:altName w:val="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sz w:val="24"/>
        <w:szCs w:val="24"/>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6"/>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p>
    <w:pPr>
      <w:pStyle w:val="6"/>
      <w:ind w:right="360" w:firstLine="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3"/>
      </w:rPr>
    </w:pPr>
    <w:r>
      <w:rPr>
        <w:rStyle w:val="13"/>
      </w:rPr>
      <w:fldChar w:fldCharType="begin"/>
    </w:r>
    <w:r>
      <w:rPr>
        <w:rStyle w:val="13"/>
      </w:rPr>
      <w:instrText xml:space="preserve">PAGE  </w:instrText>
    </w:r>
    <w:r>
      <w:rPr>
        <w:rStyle w:val="13"/>
      </w:rPr>
      <w:fldChar w:fldCharType="end"/>
    </w:r>
  </w:p>
  <w:p>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D6CE44"/>
    <w:multiLevelType w:val="singleLevel"/>
    <w:tmpl w:val="FFD6CE4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FiMTc4YzBlMGJlN2NlZjU1ODc5MDE5YTA1Nzk4ODkifQ=="/>
  </w:docVars>
  <w:rsids>
    <w:rsidRoot w:val="005B0C97"/>
    <w:rsid w:val="00002EA1"/>
    <w:rsid w:val="0000303C"/>
    <w:rsid w:val="0000349E"/>
    <w:rsid w:val="00004BAF"/>
    <w:rsid w:val="00014F34"/>
    <w:rsid w:val="00030F0C"/>
    <w:rsid w:val="00031350"/>
    <w:rsid w:val="000329FC"/>
    <w:rsid w:val="0003446E"/>
    <w:rsid w:val="0003663D"/>
    <w:rsid w:val="00060B4C"/>
    <w:rsid w:val="00062E74"/>
    <w:rsid w:val="00065CA7"/>
    <w:rsid w:val="00091260"/>
    <w:rsid w:val="000B3F1E"/>
    <w:rsid w:val="000B4F3C"/>
    <w:rsid w:val="000B517F"/>
    <w:rsid w:val="000B6138"/>
    <w:rsid w:val="000B6157"/>
    <w:rsid w:val="000B6925"/>
    <w:rsid w:val="000F1150"/>
    <w:rsid w:val="000F3011"/>
    <w:rsid w:val="000F3206"/>
    <w:rsid w:val="000F5AD7"/>
    <w:rsid w:val="000F751D"/>
    <w:rsid w:val="0011477B"/>
    <w:rsid w:val="00116875"/>
    <w:rsid w:val="00120D6A"/>
    <w:rsid w:val="00151F2E"/>
    <w:rsid w:val="00163590"/>
    <w:rsid w:val="00190A46"/>
    <w:rsid w:val="001A0457"/>
    <w:rsid w:val="001D6891"/>
    <w:rsid w:val="001E22E6"/>
    <w:rsid w:val="0020779A"/>
    <w:rsid w:val="0021384F"/>
    <w:rsid w:val="00217139"/>
    <w:rsid w:val="00227066"/>
    <w:rsid w:val="00234828"/>
    <w:rsid w:val="00236F1E"/>
    <w:rsid w:val="002476DD"/>
    <w:rsid w:val="002533DD"/>
    <w:rsid w:val="0026272D"/>
    <w:rsid w:val="00264EDE"/>
    <w:rsid w:val="00277B86"/>
    <w:rsid w:val="00293DFE"/>
    <w:rsid w:val="002B016F"/>
    <w:rsid w:val="002B2B2F"/>
    <w:rsid w:val="002B69B5"/>
    <w:rsid w:val="002C22F8"/>
    <w:rsid w:val="002D04C5"/>
    <w:rsid w:val="002F4B68"/>
    <w:rsid w:val="002F57C7"/>
    <w:rsid w:val="00307ABA"/>
    <w:rsid w:val="003156E5"/>
    <w:rsid w:val="003352B0"/>
    <w:rsid w:val="00337C36"/>
    <w:rsid w:val="00346A2C"/>
    <w:rsid w:val="00353028"/>
    <w:rsid w:val="00354298"/>
    <w:rsid w:val="00365566"/>
    <w:rsid w:val="003730D0"/>
    <w:rsid w:val="0037618B"/>
    <w:rsid w:val="00387FDF"/>
    <w:rsid w:val="0039513F"/>
    <w:rsid w:val="003A181D"/>
    <w:rsid w:val="004152C7"/>
    <w:rsid w:val="00417B3C"/>
    <w:rsid w:val="00453F5A"/>
    <w:rsid w:val="004667C3"/>
    <w:rsid w:val="00474B05"/>
    <w:rsid w:val="00480D09"/>
    <w:rsid w:val="00497D18"/>
    <w:rsid w:val="004A4147"/>
    <w:rsid w:val="004C49F9"/>
    <w:rsid w:val="004C533C"/>
    <w:rsid w:val="004C7BBD"/>
    <w:rsid w:val="004D1D8C"/>
    <w:rsid w:val="004D47C2"/>
    <w:rsid w:val="004D5820"/>
    <w:rsid w:val="004E2FF9"/>
    <w:rsid w:val="00500C01"/>
    <w:rsid w:val="005101B7"/>
    <w:rsid w:val="00513083"/>
    <w:rsid w:val="005278C7"/>
    <w:rsid w:val="0053073A"/>
    <w:rsid w:val="005368C3"/>
    <w:rsid w:val="00541FEF"/>
    <w:rsid w:val="00547B2C"/>
    <w:rsid w:val="00551F55"/>
    <w:rsid w:val="00556F83"/>
    <w:rsid w:val="0055711A"/>
    <w:rsid w:val="005602A3"/>
    <w:rsid w:val="00561953"/>
    <w:rsid w:val="00574CC5"/>
    <w:rsid w:val="00580825"/>
    <w:rsid w:val="005A0F83"/>
    <w:rsid w:val="005B0C97"/>
    <w:rsid w:val="005B5372"/>
    <w:rsid w:val="005B6ED5"/>
    <w:rsid w:val="005B7725"/>
    <w:rsid w:val="005C1A16"/>
    <w:rsid w:val="005C67F7"/>
    <w:rsid w:val="005F6F52"/>
    <w:rsid w:val="006010B2"/>
    <w:rsid w:val="0060553F"/>
    <w:rsid w:val="006108C0"/>
    <w:rsid w:val="006233AE"/>
    <w:rsid w:val="006273B3"/>
    <w:rsid w:val="006273E4"/>
    <w:rsid w:val="006371C6"/>
    <w:rsid w:val="00637757"/>
    <w:rsid w:val="0064193E"/>
    <w:rsid w:val="00644142"/>
    <w:rsid w:val="006603E0"/>
    <w:rsid w:val="0066416F"/>
    <w:rsid w:val="00677366"/>
    <w:rsid w:val="0067778D"/>
    <w:rsid w:val="00692736"/>
    <w:rsid w:val="006A60E5"/>
    <w:rsid w:val="006C1507"/>
    <w:rsid w:val="006E2535"/>
    <w:rsid w:val="0070129D"/>
    <w:rsid w:val="00704982"/>
    <w:rsid w:val="007063FC"/>
    <w:rsid w:val="00707D4B"/>
    <w:rsid w:val="00710E20"/>
    <w:rsid w:val="00711FB6"/>
    <w:rsid w:val="007144E1"/>
    <w:rsid w:val="0072072E"/>
    <w:rsid w:val="00721549"/>
    <w:rsid w:val="007366FF"/>
    <w:rsid w:val="007450CD"/>
    <w:rsid w:val="00753914"/>
    <w:rsid w:val="0075571F"/>
    <w:rsid w:val="00760BFF"/>
    <w:rsid w:val="007634F9"/>
    <w:rsid w:val="00765A93"/>
    <w:rsid w:val="00767523"/>
    <w:rsid w:val="007741FE"/>
    <w:rsid w:val="0077609B"/>
    <w:rsid w:val="007763A3"/>
    <w:rsid w:val="00780FA7"/>
    <w:rsid w:val="00781707"/>
    <w:rsid w:val="00790489"/>
    <w:rsid w:val="007929F8"/>
    <w:rsid w:val="007A41C3"/>
    <w:rsid w:val="007B30FE"/>
    <w:rsid w:val="007D093A"/>
    <w:rsid w:val="007D11F8"/>
    <w:rsid w:val="007D551D"/>
    <w:rsid w:val="00804E46"/>
    <w:rsid w:val="00806D50"/>
    <w:rsid w:val="00820C9F"/>
    <w:rsid w:val="00850D3A"/>
    <w:rsid w:val="00853B30"/>
    <w:rsid w:val="00862748"/>
    <w:rsid w:val="008778AC"/>
    <w:rsid w:val="00880449"/>
    <w:rsid w:val="0088374A"/>
    <w:rsid w:val="00885F9D"/>
    <w:rsid w:val="008A0EF9"/>
    <w:rsid w:val="008C5091"/>
    <w:rsid w:val="008E041A"/>
    <w:rsid w:val="008E3825"/>
    <w:rsid w:val="008F2F95"/>
    <w:rsid w:val="008F5F29"/>
    <w:rsid w:val="00907E33"/>
    <w:rsid w:val="009154C6"/>
    <w:rsid w:val="00940CAE"/>
    <w:rsid w:val="00947A8B"/>
    <w:rsid w:val="009578F8"/>
    <w:rsid w:val="0096300A"/>
    <w:rsid w:val="00972F4B"/>
    <w:rsid w:val="0097650E"/>
    <w:rsid w:val="00993DA1"/>
    <w:rsid w:val="009A0B4F"/>
    <w:rsid w:val="009A59F6"/>
    <w:rsid w:val="009C11BE"/>
    <w:rsid w:val="009C1F97"/>
    <w:rsid w:val="009E2CB2"/>
    <w:rsid w:val="009E356E"/>
    <w:rsid w:val="009F78BF"/>
    <w:rsid w:val="00A06020"/>
    <w:rsid w:val="00A1393B"/>
    <w:rsid w:val="00A15CF5"/>
    <w:rsid w:val="00A21754"/>
    <w:rsid w:val="00A2216A"/>
    <w:rsid w:val="00A279C9"/>
    <w:rsid w:val="00A316E6"/>
    <w:rsid w:val="00A31D87"/>
    <w:rsid w:val="00A32845"/>
    <w:rsid w:val="00A364D3"/>
    <w:rsid w:val="00A36B6B"/>
    <w:rsid w:val="00A378CC"/>
    <w:rsid w:val="00A400D0"/>
    <w:rsid w:val="00A44C68"/>
    <w:rsid w:val="00A477F7"/>
    <w:rsid w:val="00A50C2C"/>
    <w:rsid w:val="00A53922"/>
    <w:rsid w:val="00A5528E"/>
    <w:rsid w:val="00A57DD7"/>
    <w:rsid w:val="00A61C70"/>
    <w:rsid w:val="00A638B4"/>
    <w:rsid w:val="00A64259"/>
    <w:rsid w:val="00A67AC4"/>
    <w:rsid w:val="00A84F4C"/>
    <w:rsid w:val="00A8570D"/>
    <w:rsid w:val="00AB5F58"/>
    <w:rsid w:val="00AB72EE"/>
    <w:rsid w:val="00AC7C54"/>
    <w:rsid w:val="00AD288A"/>
    <w:rsid w:val="00AD43D9"/>
    <w:rsid w:val="00AD6632"/>
    <w:rsid w:val="00AD7B27"/>
    <w:rsid w:val="00AE350D"/>
    <w:rsid w:val="00AE4879"/>
    <w:rsid w:val="00AE718C"/>
    <w:rsid w:val="00B10E3C"/>
    <w:rsid w:val="00B20F8C"/>
    <w:rsid w:val="00B22195"/>
    <w:rsid w:val="00B3768C"/>
    <w:rsid w:val="00B6143A"/>
    <w:rsid w:val="00B72F93"/>
    <w:rsid w:val="00B736C3"/>
    <w:rsid w:val="00B82A55"/>
    <w:rsid w:val="00B91D25"/>
    <w:rsid w:val="00BA764F"/>
    <w:rsid w:val="00BC559C"/>
    <w:rsid w:val="00BE6B3A"/>
    <w:rsid w:val="00BF3294"/>
    <w:rsid w:val="00C12B47"/>
    <w:rsid w:val="00C17157"/>
    <w:rsid w:val="00C232F2"/>
    <w:rsid w:val="00C3421F"/>
    <w:rsid w:val="00C36F16"/>
    <w:rsid w:val="00C52B09"/>
    <w:rsid w:val="00C57312"/>
    <w:rsid w:val="00C629DE"/>
    <w:rsid w:val="00C6496C"/>
    <w:rsid w:val="00C70FE8"/>
    <w:rsid w:val="00C76DAB"/>
    <w:rsid w:val="00C80959"/>
    <w:rsid w:val="00C80F85"/>
    <w:rsid w:val="00C97F30"/>
    <w:rsid w:val="00CA5F06"/>
    <w:rsid w:val="00CB1400"/>
    <w:rsid w:val="00CC00FE"/>
    <w:rsid w:val="00CD7821"/>
    <w:rsid w:val="00CF2B33"/>
    <w:rsid w:val="00D001D0"/>
    <w:rsid w:val="00D0285B"/>
    <w:rsid w:val="00D10C51"/>
    <w:rsid w:val="00D11EE2"/>
    <w:rsid w:val="00D13747"/>
    <w:rsid w:val="00D14766"/>
    <w:rsid w:val="00D1588B"/>
    <w:rsid w:val="00D2323E"/>
    <w:rsid w:val="00D24F1E"/>
    <w:rsid w:val="00D25061"/>
    <w:rsid w:val="00D256BE"/>
    <w:rsid w:val="00D461AC"/>
    <w:rsid w:val="00D512A4"/>
    <w:rsid w:val="00D6182E"/>
    <w:rsid w:val="00D62552"/>
    <w:rsid w:val="00D67CD0"/>
    <w:rsid w:val="00DA4FD7"/>
    <w:rsid w:val="00DB2BD7"/>
    <w:rsid w:val="00DC6D67"/>
    <w:rsid w:val="00DD28B1"/>
    <w:rsid w:val="00DD59EE"/>
    <w:rsid w:val="00E01355"/>
    <w:rsid w:val="00E03014"/>
    <w:rsid w:val="00E13493"/>
    <w:rsid w:val="00E27968"/>
    <w:rsid w:val="00E32BCF"/>
    <w:rsid w:val="00E33C9F"/>
    <w:rsid w:val="00E4465B"/>
    <w:rsid w:val="00E459C2"/>
    <w:rsid w:val="00E50047"/>
    <w:rsid w:val="00E7357E"/>
    <w:rsid w:val="00E80E78"/>
    <w:rsid w:val="00E85858"/>
    <w:rsid w:val="00E96CCA"/>
    <w:rsid w:val="00EA2C14"/>
    <w:rsid w:val="00EB044B"/>
    <w:rsid w:val="00EB04EF"/>
    <w:rsid w:val="00EB1268"/>
    <w:rsid w:val="00EC3DFB"/>
    <w:rsid w:val="00ED303B"/>
    <w:rsid w:val="00ED51D9"/>
    <w:rsid w:val="00EE26CD"/>
    <w:rsid w:val="00EE4573"/>
    <w:rsid w:val="00EF4948"/>
    <w:rsid w:val="00F019C6"/>
    <w:rsid w:val="00F01FFB"/>
    <w:rsid w:val="00F04079"/>
    <w:rsid w:val="00F068DC"/>
    <w:rsid w:val="00F16B02"/>
    <w:rsid w:val="00F44DA3"/>
    <w:rsid w:val="00F567A6"/>
    <w:rsid w:val="00F5756B"/>
    <w:rsid w:val="00F76AA9"/>
    <w:rsid w:val="00F7701A"/>
    <w:rsid w:val="00F81BE4"/>
    <w:rsid w:val="00F84747"/>
    <w:rsid w:val="00FC1224"/>
    <w:rsid w:val="00FC1DC9"/>
    <w:rsid w:val="00FE0578"/>
    <w:rsid w:val="00FF2E61"/>
    <w:rsid w:val="00FF3EBA"/>
    <w:rsid w:val="02555ED9"/>
    <w:rsid w:val="029D45D5"/>
    <w:rsid w:val="045529A5"/>
    <w:rsid w:val="083C511A"/>
    <w:rsid w:val="0A9D6B1C"/>
    <w:rsid w:val="0ECF0077"/>
    <w:rsid w:val="0F4C4471"/>
    <w:rsid w:val="10D81BB4"/>
    <w:rsid w:val="11697704"/>
    <w:rsid w:val="132C233E"/>
    <w:rsid w:val="14C131FC"/>
    <w:rsid w:val="177D0A70"/>
    <w:rsid w:val="17B217D1"/>
    <w:rsid w:val="18307D6A"/>
    <w:rsid w:val="192B17DE"/>
    <w:rsid w:val="19792055"/>
    <w:rsid w:val="19952FDA"/>
    <w:rsid w:val="1C7B7E93"/>
    <w:rsid w:val="1E311151"/>
    <w:rsid w:val="1F2C5418"/>
    <w:rsid w:val="1F340720"/>
    <w:rsid w:val="22E613F3"/>
    <w:rsid w:val="24140588"/>
    <w:rsid w:val="251D1561"/>
    <w:rsid w:val="28B22E8E"/>
    <w:rsid w:val="297F2F87"/>
    <w:rsid w:val="2ABE48AD"/>
    <w:rsid w:val="2B0042DA"/>
    <w:rsid w:val="2CDD4252"/>
    <w:rsid w:val="2EA15E7F"/>
    <w:rsid w:val="2FEF1905"/>
    <w:rsid w:val="32A0644D"/>
    <w:rsid w:val="32CE7827"/>
    <w:rsid w:val="3A747FD4"/>
    <w:rsid w:val="3B3F08E1"/>
    <w:rsid w:val="3DEDAF6E"/>
    <w:rsid w:val="3FB3FA90"/>
    <w:rsid w:val="3FBEC8E9"/>
    <w:rsid w:val="3FEE0ADC"/>
    <w:rsid w:val="3FF79E2F"/>
    <w:rsid w:val="411846AD"/>
    <w:rsid w:val="411E510D"/>
    <w:rsid w:val="447338FD"/>
    <w:rsid w:val="44FC0B03"/>
    <w:rsid w:val="487274BC"/>
    <w:rsid w:val="49FA154A"/>
    <w:rsid w:val="4FEB772F"/>
    <w:rsid w:val="505226DD"/>
    <w:rsid w:val="50CA4219"/>
    <w:rsid w:val="511D2C8F"/>
    <w:rsid w:val="523911F2"/>
    <w:rsid w:val="535B0749"/>
    <w:rsid w:val="53CBC110"/>
    <w:rsid w:val="57327825"/>
    <w:rsid w:val="578C7D30"/>
    <w:rsid w:val="57C75B73"/>
    <w:rsid w:val="57FB663D"/>
    <w:rsid w:val="57FE5581"/>
    <w:rsid w:val="5ABA5D01"/>
    <w:rsid w:val="5E305451"/>
    <w:rsid w:val="5F942D09"/>
    <w:rsid w:val="602F2A3B"/>
    <w:rsid w:val="607D3D94"/>
    <w:rsid w:val="65B62A4F"/>
    <w:rsid w:val="66515C95"/>
    <w:rsid w:val="695D089B"/>
    <w:rsid w:val="69BDA57D"/>
    <w:rsid w:val="6A36535E"/>
    <w:rsid w:val="6C027255"/>
    <w:rsid w:val="6D002FBE"/>
    <w:rsid w:val="6D47333A"/>
    <w:rsid w:val="6FD921B4"/>
    <w:rsid w:val="6FDB5F87"/>
    <w:rsid w:val="715039E7"/>
    <w:rsid w:val="75FEB1E1"/>
    <w:rsid w:val="766E77F2"/>
    <w:rsid w:val="76F27340"/>
    <w:rsid w:val="779F9CE8"/>
    <w:rsid w:val="77FE5F9C"/>
    <w:rsid w:val="7A4D62CD"/>
    <w:rsid w:val="7AF728B3"/>
    <w:rsid w:val="7B7FA941"/>
    <w:rsid w:val="7BF784A6"/>
    <w:rsid w:val="7ECF6AE1"/>
    <w:rsid w:val="7F3B156B"/>
    <w:rsid w:val="7F7EBC4B"/>
    <w:rsid w:val="7F93F9DC"/>
    <w:rsid w:val="7FA7746A"/>
    <w:rsid w:val="7FCD7668"/>
    <w:rsid w:val="7FDDEB11"/>
    <w:rsid w:val="7FEA97E7"/>
    <w:rsid w:val="7FF75685"/>
    <w:rsid w:val="9FFF13CD"/>
    <w:rsid w:val="A3FF1015"/>
    <w:rsid w:val="AFBF5A0E"/>
    <w:rsid w:val="B967C023"/>
    <w:rsid w:val="BE7F601F"/>
    <w:rsid w:val="BF7F11DD"/>
    <w:rsid w:val="CBBB2D76"/>
    <w:rsid w:val="D67D71A5"/>
    <w:rsid w:val="D7E3906C"/>
    <w:rsid w:val="DDEF85BE"/>
    <w:rsid w:val="DF1F8412"/>
    <w:rsid w:val="E3BDB27C"/>
    <w:rsid w:val="E7E75126"/>
    <w:rsid w:val="EDDDC4F1"/>
    <w:rsid w:val="EECFCAAC"/>
    <w:rsid w:val="EFAEECA8"/>
    <w:rsid w:val="F1FB8982"/>
    <w:rsid w:val="F5FF8280"/>
    <w:rsid w:val="F77E5F01"/>
    <w:rsid w:val="F7C7A846"/>
    <w:rsid w:val="FABF5268"/>
    <w:rsid w:val="FB536D68"/>
    <w:rsid w:val="FBFFE461"/>
    <w:rsid w:val="FDA42CC4"/>
    <w:rsid w:val="FDF59B66"/>
    <w:rsid w:val="FFD71450"/>
    <w:rsid w:val="FFDF4B88"/>
    <w:rsid w:val="FFFBDA3B"/>
    <w:rsid w:val="FFFF14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52"/>
      <w:jc w:val="both"/>
    </w:pPr>
    <w:rPr>
      <w:rFonts w:ascii="仿宋_GB2312" w:hAnsi="Times New Roman" w:eastAsia="仿宋_GB2312" w:cs="Times New Roman"/>
      <w:kern w:val="2"/>
      <w:sz w:val="3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next w:val="3"/>
    <w:qFormat/>
    <w:uiPriority w:val="0"/>
    <w:pPr>
      <w:adjustRightInd w:val="0"/>
      <w:spacing w:line="420" w:lineRule="atLeast"/>
      <w:jc w:val="left"/>
      <w:textAlignment w:val="baseline"/>
    </w:pPr>
    <w:rPr>
      <w:kern w:val="0"/>
    </w:rPr>
  </w:style>
  <w:style w:type="paragraph" w:styleId="3">
    <w:name w:val="Body Text"/>
    <w:basedOn w:val="1"/>
    <w:next w:val="1"/>
    <w:link w:val="20"/>
    <w:qFormat/>
    <w:uiPriority w:val="0"/>
    <w:rPr>
      <w:sz w:val="18"/>
    </w:rPr>
  </w:style>
  <w:style w:type="paragraph" w:styleId="4">
    <w:name w:val="Date"/>
    <w:basedOn w:val="1"/>
    <w:next w:val="1"/>
    <w:link w:val="22"/>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ind w:firstLine="0"/>
      <w:jc w:val="left"/>
    </w:pPr>
    <w:rPr>
      <w:rFonts w:asciiTheme="minorHAnsi" w:hAnsiTheme="minorHAnsi" w:eastAsiaTheme="minorEastAsia" w:cstheme="minorBidi"/>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ind w:firstLine="0"/>
      <w:jc w:val="center"/>
    </w:pPr>
    <w:rPr>
      <w:rFonts w:asciiTheme="minorHAnsi" w:hAnsiTheme="minorHAnsi" w:eastAsiaTheme="minorEastAsia" w:cstheme="minorBidi"/>
      <w:sz w:val="18"/>
      <w:szCs w:val="18"/>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paragraph" w:styleId="9">
    <w:name w:val="Normal (Web)"/>
    <w:basedOn w:val="1"/>
    <w:semiHidden/>
    <w:unhideWhenUsed/>
    <w:qFormat/>
    <w:uiPriority w:val="99"/>
    <w:pPr>
      <w:widowControl/>
      <w:spacing w:before="100" w:beforeAutospacing="1" w:after="100" w:afterAutospacing="1"/>
      <w:ind w:firstLine="0"/>
      <w:jc w:val="left"/>
    </w:pPr>
    <w:rPr>
      <w:rFonts w:ascii="宋体" w:hAnsi="宋体" w:eastAsia="宋体" w:cs="宋体"/>
      <w:kern w:val="0"/>
      <w:sz w:val="24"/>
      <w:szCs w:val="24"/>
    </w:rPr>
  </w:style>
  <w:style w:type="table" w:styleId="11">
    <w:name w:val="Table Grid"/>
    <w:basedOn w:val="10"/>
    <w:qFormat/>
    <w:uiPriority w:val="39"/>
    <w:rPr>
      <w:bCs/>
      <w:color w:val="000000"/>
      <w:sz w:val="32"/>
      <w:szCs w:val="3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styleId="14">
    <w:name w:val="FollowedHyperlink"/>
    <w:basedOn w:val="12"/>
    <w:semiHidden/>
    <w:unhideWhenUsed/>
    <w:qFormat/>
    <w:uiPriority w:val="99"/>
    <w:rPr>
      <w:color w:val="800080"/>
      <w:u w:val="none"/>
    </w:rPr>
  </w:style>
  <w:style w:type="character" w:styleId="15">
    <w:name w:val="Hyperlink"/>
    <w:basedOn w:val="12"/>
    <w:semiHidden/>
    <w:unhideWhenUsed/>
    <w:qFormat/>
    <w:uiPriority w:val="99"/>
    <w:rPr>
      <w:color w:val="0000FF"/>
      <w:u w:val="none"/>
    </w:rPr>
  </w:style>
  <w:style w:type="character" w:customStyle="1" w:styleId="16">
    <w:name w:val="页眉 Char"/>
    <w:basedOn w:val="12"/>
    <w:link w:val="7"/>
    <w:qFormat/>
    <w:uiPriority w:val="99"/>
    <w:rPr>
      <w:sz w:val="18"/>
      <w:szCs w:val="18"/>
    </w:rPr>
  </w:style>
  <w:style w:type="character" w:customStyle="1" w:styleId="17">
    <w:name w:val="页脚 Char"/>
    <w:basedOn w:val="12"/>
    <w:link w:val="6"/>
    <w:qFormat/>
    <w:uiPriority w:val="99"/>
    <w:rPr>
      <w:sz w:val="18"/>
      <w:szCs w:val="18"/>
    </w:rPr>
  </w:style>
  <w:style w:type="paragraph" w:customStyle="1" w:styleId="18">
    <w:name w:val="红线"/>
    <w:basedOn w:val="1"/>
    <w:qFormat/>
    <w:uiPriority w:val="0"/>
    <w:pPr>
      <w:spacing w:line="160" w:lineRule="exact"/>
      <w:ind w:firstLine="0"/>
    </w:pPr>
  </w:style>
  <w:style w:type="character" w:customStyle="1" w:styleId="19">
    <w:name w:val="批注框文本 Char"/>
    <w:basedOn w:val="12"/>
    <w:link w:val="5"/>
    <w:semiHidden/>
    <w:qFormat/>
    <w:uiPriority w:val="99"/>
    <w:rPr>
      <w:rFonts w:ascii="仿宋_GB2312" w:eastAsia="仿宋_GB2312"/>
      <w:kern w:val="2"/>
      <w:sz w:val="18"/>
      <w:szCs w:val="18"/>
    </w:rPr>
  </w:style>
  <w:style w:type="character" w:customStyle="1" w:styleId="20">
    <w:name w:val="正文文本 Char"/>
    <w:basedOn w:val="12"/>
    <w:link w:val="3"/>
    <w:qFormat/>
    <w:uiPriority w:val="0"/>
    <w:rPr>
      <w:rFonts w:ascii="仿宋_GB2312" w:eastAsia="仿宋_GB2312"/>
      <w:kern w:val="2"/>
      <w:sz w:val="18"/>
    </w:rPr>
  </w:style>
  <w:style w:type="paragraph" w:styleId="21">
    <w:name w:val="List Paragraph"/>
    <w:basedOn w:val="1"/>
    <w:qFormat/>
    <w:uiPriority w:val="99"/>
    <w:pPr>
      <w:ind w:firstLine="420" w:firstLineChars="200"/>
    </w:pPr>
  </w:style>
  <w:style w:type="character" w:customStyle="1" w:styleId="22">
    <w:name w:val="日期 Char"/>
    <w:basedOn w:val="12"/>
    <w:link w:val="4"/>
    <w:semiHidden/>
    <w:qFormat/>
    <w:uiPriority w:val="99"/>
    <w:rPr>
      <w:rFonts w:ascii="仿宋_GB2312" w:eastAsia="仿宋_GB2312"/>
      <w:kern w:val="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161</Words>
  <Characters>918</Characters>
  <Lines>7</Lines>
  <Paragraphs>2</Paragraphs>
  <TotalTime>18</TotalTime>
  <ScaleCrop>false</ScaleCrop>
  <LinksUpToDate>false</LinksUpToDate>
  <CharactersWithSpaces>1077</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2025-11-04T00:51:00Z</dcterms:created>
  <dc:creator>王晖</dc:creator>
  <cp:lastModifiedBy>casic</cp:lastModifiedBy>
  <cp:lastPrinted>2025-09-28T07:34:00Z</cp:lastPrinted>
  <dcterms:modified xsi:type="dcterms:W3CDTF">2026-10-13T17:54:47Z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5023242D514E48018DF230393037DED2_13</vt:lpwstr>
  </property>
  <property fmtid="{D5CDD505-2E9C-101B-9397-08002B2CF9AE}" pid="4" name="KSOTemplateDocerSaveRecord">
    <vt:lpwstr>eyJoZGlkIjoiNjY1ODIyMzRlMTc0YWY4YmUxZWMzZWIxNDZjZTFhNDkifQ==</vt:lpwstr>
  </property>
</Properties>
</file>